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F6A" w:rsidRPr="007933E6" w:rsidRDefault="007933E6" w:rsidP="007933E6">
      <w:pPr>
        <w:spacing w:after="0"/>
        <w:ind w:left="-142"/>
        <w:jc w:val="both"/>
        <w:rPr>
          <w:sz w:val="20"/>
          <w:szCs w:val="20"/>
        </w:rPr>
      </w:pPr>
      <w:r>
        <w:rPr>
          <w:rFonts w:cstheme="minorHAnsi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24.4pt;margin-top:-25.5pt;width:61.6pt;height:20.25pt;z-index:251660288" strokecolor="#622423 [1605]" strokeweight="1.5pt">
            <v:textbox style="mso-next-textbox:#_x0000_s1026">
              <w:txbxContent>
                <w:p w:rsidR="007933E6" w:rsidRPr="00A757E2" w:rsidRDefault="007933E6" w:rsidP="007933E6">
                  <w:pPr>
                    <w:rPr>
                      <w:b/>
                    </w:rPr>
                  </w:pPr>
                  <w:r w:rsidRPr="00A757E2">
                    <w:rPr>
                      <w:b/>
                    </w:rPr>
                    <w:t>A</w:t>
                  </w:r>
                  <w:r>
                    <w:rPr>
                      <w:b/>
                    </w:rPr>
                    <w:t>NN</w:t>
                  </w:r>
                  <w:r w:rsidRPr="00A757E2">
                    <w:rPr>
                      <w:b/>
                    </w:rPr>
                    <w:t xml:space="preserve">– </w:t>
                  </w:r>
                  <w:r>
                    <w:rPr>
                      <w:b/>
                    </w:rPr>
                    <w:t>4.2</w:t>
                  </w:r>
                </w:p>
              </w:txbxContent>
            </v:textbox>
          </v:shape>
        </w:pict>
      </w:r>
    </w:p>
    <w:p w:rsidR="007933E6" w:rsidRPr="00616F2C" w:rsidRDefault="007933E6" w:rsidP="007933E6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Baseline study for Development in </w:t>
      </w:r>
      <w:proofErr w:type="spellStart"/>
      <w:r>
        <w:rPr>
          <w:rFonts w:cstheme="minorHAnsi"/>
          <w:b/>
          <w:sz w:val="28"/>
          <w:szCs w:val="28"/>
        </w:rPr>
        <w:t>Telangana</w:t>
      </w:r>
      <w:proofErr w:type="spellEnd"/>
      <w:r>
        <w:rPr>
          <w:rFonts w:cstheme="minorHAnsi"/>
          <w:b/>
          <w:sz w:val="28"/>
          <w:szCs w:val="28"/>
        </w:rPr>
        <w:t xml:space="preserve"> state</w:t>
      </w:r>
    </w:p>
    <w:p w:rsidR="006554C7" w:rsidRDefault="006554C7" w:rsidP="007933E6">
      <w:pPr>
        <w:jc w:val="center"/>
        <w:rPr>
          <w:b/>
          <w:sz w:val="24"/>
          <w:szCs w:val="24"/>
        </w:rPr>
      </w:pPr>
      <w:r w:rsidRPr="007933E6">
        <w:rPr>
          <w:b/>
          <w:sz w:val="24"/>
          <w:szCs w:val="24"/>
        </w:rPr>
        <w:t>Highlights on Respondent’s Feedback</w:t>
      </w:r>
    </w:p>
    <w:p w:rsidR="007933E6" w:rsidRPr="007933E6" w:rsidRDefault="007933E6" w:rsidP="007933E6">
      <w:pPr>
        <w:jc w:val="center"/>
        <w:rPr>
          <w:rFonts w:cstheme="minorHAnsi"/>
          <w:b/>
          <w:sz w:val="2"/>
          <w:szCs w:val="24"/>
        </w:rPr>
      </w:pPr>
    </w:p>
    <w:p w:rsidR="006554C7" w:rsidRPr="007933E6" w:rsidRDefault="006554C7" w:rsidP="006554C7">
      <w:pPr>
        <w:pStyle w:val="ListParagraph"/>
        <w:numPr>
          <w:ilvl w:val="0"/>
          <w:numId w:val="3"/>
        </w:numPr>
        <w:jc w:val="both"/>
        <w:rPr>
          <w:rFonts w:eastAsia="Times New Roman" w:cs="Times New Roman"/>
          <w:color w:val="000000"/>
          <w:sz w:val="20"/>
          <w:szCs w:val="20"/>
        </w:rPr>
      </w:pPr>
      <w:r w:rsidRPr="007933E6">
        <w:rPr>
          <w:rFonts w:eastAsia="Times New Roman" w:cs="Times New Roman"/>
          <w:color w:val="000000"/>
          <w:sz w:val="20"/>
          <w:szCs w:val="20"/>
        </w:rPr>
        <w:t xml:space="preserve">On an average there is one person per family actively involved in fisheries which means 25 to 30% of the family members as a whole are actively involved in fishing. </w:t>
      </w:r>
    </w:p>
    <w:p w:rsidR="006554C7" w:rsidRPr="007933E6" w:rsidRDefault="006554C7" w:rsidP="006554C7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 w:rsidRPr="007933E6">
        <w:rPr>
          <w:rFonts w:eastAsia="Times New Roman" w:cs="Times New Roman"/>
          <w:color w:val="000000"/>
          <w:sz w:val="20"/>
          <w:szCs w:val="20"/>
        </w:rPr>
        <w:t>In both reservoirs and tanks category 90% of the respondents report being in BPL category with the balance in APL group</w:t>
      </w:r>
      <w:r w:rsidRPr="007933E6">
        <w:rPr>
          <w:rFonts w:eastAsia="Times New Roman" w:cs="Times New Roman"/>
          <w:b/>
          <w:color w:val="000000"/>
          <w:sz w:val="20"/>
          <w:szCs w:val="20"/>
        </w:rPr>
        <w:t>.</w:t>
      </w:r>
    </w:p>
    <w:p w:rsidR="006554C7" w:rsidRPr="007933E6" w:rsidRDefault="006554C7" w:rsidP="006554C7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 w:rsidRPr="007933E6">
        <w:rPr>
          <w:rFonts w:eastAsia="Times New Roman" w:cs="Times New Roman"/>
          <w:color w:val="000000"/>
          <w:sz w:val="20"/>
          <w:szCs w:val="20"/>
        </w:rPr>
        <w:t xml:space="preserve">it can be seen that the OBC category of fishermen is more pronounced in case of reservoirs and the same is the case as for </w:t>
      </w:r>
      <w:proofErr w:type="spellStart"/>
      <w:r w:rsidRPr="007933E6">
        <w:rPr>
          <w:rFonts w:eastAsia="Times New Roman" w:cs="Times New Roman"/>
          <w:color w:val="000000"/>
          <w:sz w:val="20"/>
          <w:szCs w:val="20"/>
        </w:rPr>
        <w:t>tribals</w:t>
      </w:r>
      <w:proofErr w:type="spellEnd"/>
    </w:p>
    <w:p w:rsidR="006554C7" w:rsidRPr="007933E6" w:rsidRDefault="006554C7" w:rsidP="006554C7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 w:rsidRPr="007933E6">
        <w:rPr>
          <w:rFonts w:eastAsia="Times New Roman" w:cs="Times New Roman"/>
          <w:color w:val="000000"/>
          <w:sz w:val="20"/>
          <w:szCs w:val="20"/>
        </w:rPr>
        <w:t xml:space="preserve">Among the fishermen both in reservoirs and tanks a substantial no. of them are illiterates </w:t>
      </w:r>
    </w:p>
    <w:p w:rsidR="006554C7" w:rsidRPr="007933E6" w:rsidRDefault="006554C7" w:rsidP="006554C7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 w:rsidRPr="007933E6">
        <w:rPr>
          <w:rFonts w:eastAsia="Times New Roman" w:cs="Times New Roman"/>
          <w:color w:val="000000"/>
          <w:sz w:val="20"/>
          <w:szCs w:val="20"/>
        </w:rPr>
        <w:t xml:space="preserve">In the context of both the resources i.e. reservoirs and tanks the majority of respondents (about 70%) report that fishery is their main livelihood option. </w:t>
      </w:r>
    </w:p>
    <w:p w:rsidR="006554C7" w:rsidRPr="007933E6" w:rsidRDefault="006554C7" w:rsidP="006554C7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 w:rsidRPr="007933E6">
        <w:rPr>
          <w:rFonts w:eastAsia="Times New Roman" w:cs="Times New Roman"/>
          <w:color w:val="000000"/>
          <w:sz w:val="20"/>
          <w:szCs w:val="20"/>
        </w:rPr>
        <w:t xml:space="preserve">The higher reliance on agriculture among tank fishermen may be attributed to seasonality limitations of water availability as compared to reservoirs.  </w:t>
      </w:r>
    </w:p>
    <w:p w:rsidR="006554C7" w:rsidRPr="007933E6" w:rsidRDefault="006554C7" w:rsidP="006554C7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 w:rsidRPr="007933E6">
        <w:rPr>
          <w:rFonts w:eastAsia="Times New Roman" w:cs="Times New Roman"/>
          <w:color w:val="000000"/>
          <w:sz w:val="20"/>
          <w:szCs w:val="20"/>
        </w:rPr>
        <w:t>It can be seen that anticipation of better income is not a determinant factor in the choice under both the situations indicating the need for much desired changes for making fishery an attractive sector for better livelihood options.</w:t>
      </w:r>
    </w:p>
    <w:p w:rsidR="006554C7" w:rsidRPr="007933E6" w:rsidRDefault="006554C7" w:rsidP="006554C7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 w:rsidRPr="007933E6">
        <w:rPr>
          <w:sz w:val="20"/>
          <w:szCs w:val="20"/>
        </w:rPr>
        <w:t xml:space="preserve">The feedback from tank fishermen shows that in about 49% of the cases they derive income from agriculture and in about 15% of the cases they supplement their income from agriculture labour. </w:t>
      </w:r>
    </w:p>
    <w:p w:rsidR="006554C7" w:rsidRPr="007933E6" w:rsidRDefault="006554C7" w:rsidP="006554C7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 w:rsidRPr="007933E6">
        <w:rPr>
          <w:sz w:val="20"/>
          <w:szCs w:val="20"/>
        </w:rPr>
        <w:t>The institutional membership among the respondents which mostly relates to being member in the local FCS is as high as 98% in case of reservoir fishermen while it is about 80% for tank fishermen.</w:t>
      </w:r>
    </w:p>
    <w:p w:rsidR="009D576B" w:rsidRPr="0086544E" w:rsidRDefault="009D576B"/>
    <w:sectPr w:rsidR="009D576B" w:rsidRPr="0086544E" w:rsidSect="009D57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B564C"/>
    <w:multiLevelType w:val="hybridMultilevel"/>
    <w:tmpl w:val="CBD2D172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F431DA"/>
    <w:multiLevelType w:val="hybridMultilevel"/>
    <w:tmpl w:val="84CCFC9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E2228E"/>
    <w:multiLevelType w:val="hybridMultilevel"/>
    <w:tmpl w:val="9A4CF3F2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E52AFC"/>
    <w:multiLevelType w:val="hybridMultilevel"/>
    <w:tmpl w:val="B3929EB0"/>
    <w:lvl w:ilvl="0" w:tplc="47004CF4">
      <w:start w:val="1"/>
      <w:numFmt w:val="bullet"/>
      <w:lvlText w:val=""/>
      <w:lvlJc w:val="left"/>
      <w:pPr>
        <w:ind w:left="720" w:hanging="360"/>
      </w:pPr>
      <w:rPr>
        <w:rFonts w:ascii="Wingdings 3" w:hAnsi="Wingdings 3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A677CD"/>
    <w:multiLevelType w:val="hybridMultilevel"/>
    <w:tmpl w:val="7F4ADC3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8F34E8"/>
    <w:multiLevelType w:val="hybridMultilevel"/>
    <w:tmpl w:val="E2BE4C2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706E34"/>
    <w:multiLevelType w:val="hybridMultilevel"/>
    <w:tmpl w:val="6AE67A1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EB6BFD"/>
    <w:multiLevelType w:val="hybridMultilevel"/>
    <w:tmpl w:val="3CC82592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184928"/>
    <w:multiLevelType w:val="hybridMultilevel"/>
    <w:tmpl w:val="63540AD2"/>
    <w:lvl w:ilvl="0" w:tplc="47004CF4">
      <w:start w:val="1"/>
      <w:numFmt w:val="bullet"/>
      <w:lvlText w:val=""/>
      <w:lvlJc w:val="left"/>
      <w:pPr>
        <w:ind w:left="720" w:hanging="360"/>
      </w:pPr>
      <w:rPr>
        <w:rFonts w:ascii="Wingdings 3" w:hAnsi="Wingdings 3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E649A4"/>
    <w:multiLevelType w:val="hybridMultilevel"/>
    <w:tmpl w:val="C8526AD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AA21B07"/>
    <w:multiLevelType w:val="multilevel"/>
    <w:tmpl w:val="9FDAD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  <w:b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402D317F"/>
    <w:multiLevelType w:val="hybridMultilevel"/>
    <w:tmpl w:val="49CEEC7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835BBD"/>
    <w:multiLevelType w:val="hybridMultilevel"/>
    <w:tmpl w:val="6FDCDD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BB3C41"/>
    <w:multiLevelType w:val="hybridMultilevel"/>
    <w:tmpl w:val="A79CA344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81297B"/>
    <w:multiLevelType w:val="hybridMultilevel"/>
    <w:tmpl w:val="E0AA8728"/>
    <w:lvl w:ilvl="0" w:tplc="47004CF4">
      <w:start w:val="1"/>
      <w:numFmt w:val="bullet"/>
      <w:lvlText w:val=""/>
      <w:lvlJc w:val="left"/>
      <w:pPr>
        <w:ind w:left="720" w:hanging="360"/>
      </w:pPr>
      <w:rPr>
        <w:rFonts w:ascii="Wingdings 3" w:hAnsi="Wingdings 3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5C7FCE"/>
    <w:multiLevelType w:val="hybridMultilevel"/>
    <w:tmpl w:val="B2563D50"/>
    <w:lvl w:ilvl="0" w:tplc="47004CF4">
      <w:start w:val="1"/>
      <w:numFmt w:val="bullet"/>
      <w:lvlText w:val=""/>
      <w:lvlJc w:val="left"/>
      <w:pPr>
        <w:ind w:left="720" w:hanging="360"/>
      </w:pPr>
      <w:rPr>
        <w:rFonts w:ascii="Wingdings 3" w:hAnsi="Wingdings 3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47746D"/>
    <w:multiLevelType w:val="hybridMultilevel"/>
    <w:tmpl w:val="95C29F8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2"/>
  </w:num>
  <w:num w:numId="4">
    <w:abstractNumId w:val="13"/>
  </w:num>
  <w:num w:numId="5">
    <w:abstractNumId w:val="7"/>
  </w:num>
  <w:num w:numId="6">
    <w:abstractNumId w:val="9"/>
  </w:num>
  <w:num w:numId="7">
    <w:abstractNumId w:val="14"/>
  </w:num>
  <w:num w:numId="8">
    <w:abstractNumId w:val="10"/>
  </w:num>
  <w:num w:numId="9">
    <w:abstractNumId w:val="3"/>
  </w:num>
  <w:num w:numId="10">
    <w:abstractNumId w:val="8"/>
  </w:num>
  <w:num w:numId="11">
    <w:abstractNumId w:val="5"/>
  </w:num>
  <w:num w:numId="12">
    <w:abstractNumId w:val="1"/>
  </w:num>
  <w:num w:numId="13">
    <w:abstractNumId w:val="11"/>
  </w:num>
  <w:num w:numId="14">
    <w:abstractNumId w:val="6"/>
  </w:num>
  <w:num w:numId="15">
    <w:abstractNumId w:val="0"/>
  </w:num>
  <w:num w:numId="16">
    <w:abstractNumId w:val="4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19D8"/>
    <w:rsid w:val="00237FB1"/>
    <w:rsid w:val="002A19DC"/>
    <w:rsid w:val="00612F6A"/>
    <w:rsid w:val="006554C7"/>
    <w:rsid w:val="0079027D"/>
    <w:rsid w:val="007933E6"/>
    <w:rsid w:val="0086544E"/>
    <w:rsid w:val="009D576B"/>
    <w:rsid w:val="00A011A5"/>
    <w:rsid w:val="00B6115C"/>
    <w:rsid w:val="00B819D8"/>
    <w:rsid w:val="00BD070A"/>
    <w:rsid w:val="00BF1014"/>
    <w:rsid w:val="00EE3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9D8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554C7"/>
    <w:pPr>
      <w:ind w:left="720"/>
      <w:contextualSpacing/>
    </w:pPr>
    <w:rPr>
      <w:lang w:val="en-IN" w:eastAsia="en-IN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554C7"/>
    <w:rPr>
      <w:rFonts w:eastAsiaTheme="minorEastAsia"/>
      <w:lang w:eastAsia="en-IN"/>
    </w:rPr>
  </w:style>
  <w:style w:type="table" w:styleId="TableGrid">
    <w:name w:val="Table Grid"/>
    <w:basedOn w:val="TableNormal"/>
    <w:uiPriority w:val="59"/>
    <w:rsid w:val="00BD070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Agri7</cp:lastModifiedBy>
  <cp:revision>3</cp:revision>
  <dcterms:created xsi:type="dcterms:W3CDTF">2018-03-05T08:34:00Z</dcterms:created>
  <dcterms:modified xsi:type="dcterms:W3CDTF">2018-03-07T07:06:00Z</dcterms:modified>
</cp:coreProperties>
</file>