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CE" w:rsidRPr="007D2BA2" w:rsidRDefault="005E368D" w:rsidP="004E06CE">
      <w:pPr>
        <w:spacing w:after="0"/>
        <w:jc w:val="right"/>
        <w:rPr>
          <w:rFonts w:cstheme="minorHAnsi"/>
          <w:b/>
        </w:rPr>
      </w:pPr>
      <w:r>
        <w:rPr>
          <w:rFonts w:cstheme="minorHAns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92.25pt;margin-top:-8.25pt;width:77pt;height:18.75pt;z-index:251659264" strokecolor="#943634 [2405]" strokeweight="1.5pt">
            <v:textbox>
              <w:txbxContent>
                <w:p w:rsidR="009E2F9F" w:rsidRPr="007D2BA2" w:rsidRDefault="009E2F9F" w:rsidP="009E2F9F">
                  <w:pPr>
                    <w:spacing w:after="0"/>
                    <w:jc w:val="center"/>
                    <w:rPr>
                      <w:rFonts w:cstheme="minorHAnsi"/>
                      <w:b/>
                    </w:rPr>
                  </w:pPr>
                  <w:r w:rsidRPr="007D2BA2">
                    <w:rPr>
                      <w:rFonts w:cstheme="minorHAnsi"/>
                      <w:b/>
                    </w:rPr>
                    <w:t>A</w:t>
                  </w:r>
                  <w:r>
                    <w:rPr>
                      <w:rFonts w:cstheme="minorHAnsi"/>
                      <w:b/>
                    </w:rPr>
                    <w:t xml:space="preserve">NN </w:t>
                  </w:r>
                  <w:r w:rsidRPr="007D2BA2">
                    <w:rPr>
                      <w:rFonts w:cstheme="minorHAnsi"/>
                      <w:b/>
                    </w:rPr>
                    <w:t xml:space="preserve">– </w:t>
                  </w:r>
                  <w:r w:rsidR="009F03A8">
                    <w:rPr>
                      <w:rFonts w:cstheme="minorHAnsi"/>
                      <w:b/>
                    </w:rPr>
                    <w:t>5</w:t>
                  </w:r>
                  <w:r>
                    <w:rPr>
                      <w:rFonts w:cstheme="minorHAnsi"/>
                      <w:b/>
                    </w:rPr>
                    <w:t>.2</w:t>
                  </w:r>
                </w:p>
                <w:p w:rsidR="009E2F9F" w:rsidRDefault="009E2F9F" w:rsidP="009E2F9F">
                  <w:pPr>
                    <w:jc w:val="center"/>
                  </w:pPr>
                </w:p>
              </w:txbxContent>
            </v:textbox>
          </v:shape>
        </w:pict>
      </w:r>
      <w:r w:rsidR="007D2BA2">
        <w:rPr>
          <w:rFonts w:cstheme="minorHAnsi"/>
          <w:b/>
        </w:rPr>
        <w:t xml:space="preserve">    </w:t>
      </w:r>
    </w:p>
    <w:p w:rsidR="004E06CE" w:rsidRPr="009F03A8" w:rsidRDefault="004E06CE" w:rsidP="004E06CE">
      <w:pPr>
        <w:spacing w:after="0"/>
        <w:rPr>
          <w:rFonts w:cstheme="minorHAnsi"/>
          <w:b/>
          <w:sz w:val="8"/>
        </w:rPr>
      </w:pPr>
    </w:p>
    <w:p w:rsidR="009E2F9F" w:rsidRPr="003D4D82" w:rsidRDefault="009E2F9F" w:rsidP="00712881">
      <w:pPr>
        <w:spacing w:after="0"/>
        <w:jc w:val="center"/>
        <w:rPr>
          <w:rFonts w:cstheme="minorHAnsi"/>
          <w:b/>
          <w:sz w:val="26"/>
          <w:szCs w:val="26"/>
        </w:rPr>
      </w:pPr>
      <w:r w:rsidRPr="003D4D82">
        <w:rPr>
          <w:b/>
          <w:sz w:val="26"/>
          <w:szCs w:val="26"/>
        </w:rPr>
        <w:t xml:space="preserve">Baseline study for Fisheries Development in </w:t>
      </w:r>
      <w:proofErr w:type="spellStart"/>
      <w:r w:rsidRPr="003D4D82">
        <w:rPr>
          <w:b/>
          <w:sz w:val="26"/>
          <w:szCs w:val="26"/>
        </w:rPr>
        <w:t>Telangana</w:t>
      </w:r>
      <w:proofErr w:type="spellEnd"/>
      <w:r w:rsidRPr="003D4D82">
        <w:rPr>
          <w:b/>
          <w:sz w:val="26"/>
          <w:szCs w:val="26"/>
        </w:rPr>
        <w:t xml:space="preserve"> state</w:t>
      </w:r>
    </w:p>
    <w:p w:rsidR="004E06CE" w:rsidRDefault="00046D41" w:rsidP="009E2F9F">
      <w:pPr>
        <w:spacing w:after="0"/>
        <w:jc w:val="center"/>
        <w:rPr>
          <w:rFonts w:cstheme="minorHAnsi"/>
          <w:b/>
        </w:rPr>
      </w:pPr>
      <w:r w:rsidRPr="004E06CE">
        <w:rPr>
          <w:rFonts w:cstheme="minorHAnsi"/>
          <w:b/>
        </w:rPr>
        <w:t xml:space="preserve">Highlights on </w:t>
      </w:r>
      <w:proofErr w:type="spellStart"/>
      <w:r w:rsidRPr="004E06CE">
        <w:rPr>
          <w:rFonts w:cstheme="minorHAnsi"/>
          <w:b/>
        </w:rPr>
        <w:t>Morpho</w:t>
      </w:r>
      <w:proofErr w:type="spellEnd"/>
      <w:r w:rsidRPr="004E06CE">
        <w:rPr>
          <w:rFonts w:cstheme="minorHAnsi"/>
          <w:b/>
        </w:rPr>
        <w:t>-metric characteristics</w:t>
      </w:r>
    </w:p>
    <w:p w:rsidR="00712881" w:rsidRDefault="005E368D" w:rsidP="009E2F9F">
      <w:pPr>
        <w:spacing w:after="0"/>
        <w:jc w:val="center"/>
        <w:rPr>
          <w:rFonts w:cstheme="minorHAnsi"/>
          <w:b/>
        </w:rPr>
      </w:pPr>
      <w:r w:rsidRPr="005E368D">
        <w:rPr>
          <w:noProof/>
          <w:lang w:val="en-IN" w:eastAsia="en-IN"/>
        </w:rPr>
        <w:pict>
          <v:rect id="Rectangle 56" o:spid="_x0000_s1027" style="position:absolute;left:0;text-align:left;margin-left:-21.75pt;margin-top:8.55pt;width:491pt;height:32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">
            <v:textbox style="mso-next-textbox:#Rectangle 56">
              <w:txbxContent>
                <w:p w:rsidR="00497879" w:rsidRPr="00312ADE" w:rsidRDefault="00497879" w:rsidP="00046D41">
                  <w:pPr>
                    <w:shd w:val="clear" w:color="auto" w:fill="F2F2F2" w:themeFill="background1" w:themeFillShade="F2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312ADE">
                    <w:rPr>
                      <w:rFonts w:cstheme="minorHAnsi"/>
                      <w:sz w:val="18"/>
                      <w:szCs w:val="18"/>
                    </w:rPr>
                    <w:t xml:space="preserve">Scientific studies on </w:t>
                  </w:r>
                  <w:proofErr w:type="spellStart"/>
                  <w:r w:rsidRPr="00312ADE">
                    <w:rPr>
                      <w:rFonts w:cstheme="minorHAnsi"/>
                      <w:sz w:val="18"/>
                      <w:szCs w:val="18"/>
                    </w:rPr>
                    <w:t>morphometric</w:t>
                  </w:r>
                  <w:proofErr w:type="spellEnd"/>
                  <w:r w:rsidRPr="00312ADE">
                    <w:rPr>
                      <w:rFonts w:cstheme="minorHAnsi"/>
                      <w:sz w:val="18"/>
                      <w:szCs w:val="18"/>
                    </w:rPr>
                    <w:t xml:space="preserve"> and hydrological features and on productivity of most of the reservoirs of state are limited. The highlights of studies of CIFRI</w:t>
                  </w:r>
                  <w:proofErr w:type="gramStart"/>
                  <w:r w:rsidRPr="00312ADE">
                    <w:rPr>
                      <w:rFonts w:cstheme="minorHAnsi"/>
                      <w:sz w:val="18"/>
                      <w:szCs w:val="18"/>
                    </w:rPr>
                    <w:t>,1998</w:t>
                  </w:r>
                  <w:proofErr w:type="gramEnd"/>
                  <w:r w:rsidRPr="00312ADE">
                    <w:rPr>
                      <w:rFonts w:cstheme="minorHAnsi"/>
                      <w:sz w:val="18"/>
                      <w:szCs w:val="18"/>
                    </w:rPr>
                    <w:t xml:space="preserve"> on reservoirs </w:t>
                  </w:r>
                  <w:proofErr w:type="spellStart"/>
                  <w:r w:rsidRPr="00312ADE">
                    <w:rPr>
                      <w:rFonts w:cstheme="minorHAnsi"/>
                      <w:sz w:val="18"/>
                      <w:szCs w:val="18"/>
                    </w:rPr>
                    <w:t>Wyra</w:t>
                  </w:r>
                  <w:proofErr w:type="spellEnd"/>
                  <w:r w:rsidRPr="00312ADE">
                    <w:rPr>
                      <w:rFonts w:cstheme="minorHAnsi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312ADE">
                    <w:rPr>
                      <w:rFonts w:cstheme="minorHAnsi"/>
                      <w:sz w:val="18"/>
                      <w:szCs w:val="18"/>
                    </w:rPr>
                    <w:t>Musi</w:t>
                  </w:r>
                  <w:proofErr w:type="spellEnd"/>
                  <w:r w:rsidRPr="00312ADE">
                    <w:rPr>
                      <w:rFonts w:cstheme="minorHAnsi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312ADE">
                    <w:rPr>
                      <w:rFonts w:cstheme="minorHAnsi"/>
                      <w:sz w:val="18"/>
                      <w:szCs w:val="18"/>
                    </w:rPr>
                    <w:t>Nagarjuna</w:t>
                  </w:r>
                  <w:proofErr w:type="spellEnd"/>
                  <w:r w:rsidRPr="00312AD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12ADE">
                    <w:rPr>
                      <w:rFonts w:cstheme="minorHAnsi"/>
                      <w:sz w:val="18"/>
                      <w:szCs w:val="18"/>
                    </w:rPr>
                    <w:t>sagar</w:t>
                  </w:r>
                  <w:proofErr w:type="spellEnd"/>
                  <w:r w:rsidRPr="00312ADE">
                    <w:rPr>
                      <w:rFonts w:cstheme="minorHAnsi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312ADE">
                    <w:rPr>
                      <w:rFonts w:cstheme="minorHAnsi"/>
                      <w:sz w:val="18"/>
                      <w:szCs w:val="18"/>
                    </w:rPr>
                    <w:t>Singur</w:t>
                  </w:r>
                  <w:proofErr w:type="spellEnd"/>
                  <w:r w:rsidRPr="00312ADE">
                    <w:rPr>
                      <w:rFonts w:cstheme="minorHAnsi"/>
                      <w:sz w:val="18"/>
                      <w:szCs w:val="18"/>
                    </w:rPr>
                    <w:t xml:space="preserve"> , LMD and </w:t>
                  </w:r>
                  <w:proofErr w:type="spellStart"/>
                  <w:r w:rsidRPr="00312ADE">
                    <w:rPr>
                      <w:rFonts w:cstheme="minorHAnsi"/>
                      <w:sz w:val="18"/>
                      <w:szCs w:val="18"/>
                    </w:rPr>
                    <w:t>Kadam</w:t>
                  </w:r>
                  <w:proofErr w:type="spellEnd"/>
                  <w:r w:rsidRPr="00312ADE">
                    <w:rPr>
                      <w:rFonts w:cstheme="minorHAnsi"/>
                      <w:sz w:val="18"/>
                      <w:szCs w:val="18"/>
                    </w:rPr>
                    <w:t xml:space="preserve">  are as follows 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1546"/>
                    <w:gridCol w:w="8058"/>
                  </w:tblGrid>
                  <w:tr w:rsidR="00497879" w:rsidRPr="00312ADE" w:rsidTr="009E2F9F">
                    <w:trPr>
                      <w:trHeight w:val="437"/>
                    </w:trPr>
                    <w:tc>
                      <w:tcPr>
                        <w:tcW w:w="1546" w:type="dxa"/>
                        <w:shd w:val="thinReverseDiagStripe" w:color="D9D9D9" w:themeColor="background1" w:themeShade="D9" w:fill="auto"/>
                        <w:vAlign w:val="center"/>
                      </w:tcPr>
                      <w:p w:rsidR="00497879" w:rsidRPr="00312ADE" w:rsidRDefault="00497879" w:rsidP="00C10589">
                        <w:pPr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  <w:t>Mean Depth</w:t>
                        </w:r>
                      </w:p>
                    </w:tc>
                    <w:tc>
                      <w:tcPr>
                        <w:tcW w:w="8058" w:type="dxa"/>
                        <w:tcBorders>
                          <w:top w:val="dotted" w:sz="4" w:space="0" w:color="808080" w:themeColor="background1" w:themeShade="80"/>
                          <w:bottom w:val="dotted" w:sz="4" w:space="0" w:color="808080" w:themeColor="background1" w:themeShade="80"/>
                        </w:tcBorders>
                        <w:shd w:val="clear" w:color="auto" w:fill="FFFFFF" w:themeFill="background1"/>
                      </w:tcPr>
                      <w:p w:rsidR="00497879" w:rsidRPr="00312ADE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NGS is a deep reservoir with a high mean depth of 40.5 whereas the other reservoirs are shallow with mean depth of less than 10.0 m; LMD reservoir of study district has mean depth of 8.4 m.</w:t>
                        </w:r>
                      </w:p>
                      <w:p w:rsidR="00497879" w:rsidRPr="00312ADE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Shallow reservoirs are relatively more productive because of high proportion of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euphotic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zone</w:t>
                        </w:r>
                      </w:p>
                    </w:tc>
                  </w:tr>
                  <w:tr w:rsidR="00497879" w:rsidRPr="00312ADE" w:rsidTr="009E2F9F">
                    <w:trPr>
                      <w:trHeight w:val="239"/>
                    </w:trPr>
                    <w:tc>
                      <w:tcPr>
                        <w:tcW w:w="1546" w:type="dxa"/>
                        <w:shd w:val="thinReverseDiagStripe" w:color="D9D9D9" w:themeColor="background1" w:themeShade="D9" w:fill="auto"/>
                        <w:vAlign w:val="center"/>
                      </w:tcPr>
                      <w:p w:rsidR="00497879" w:rsidRPr="00312ADE" w:rsidRDefault="00497879" w:rsidP="00C10589">
                        <w:pPr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  <w:t>Mean Area</w:t>
                        </w:r>
                      </w:p>
                    </w:tc>
                    <w:tc>
                      <w:tcPr>
                        <w:tcW w:w="8058" w:type="dxa"/>
                        <w:tcBorders>
                          <w:top w:val="dotted" w:sz="4" w:space="0" w:color="808080" w:themeColor="background1" w:themeShade="80"/>
                          <w:bottom w:val="dotted" w:sz="4" w:space="0" w:color="808080" w:themeColor="background1" w:themeShade="80"/>
                        </w:tcBorders>
                        <w:shd w:val="clear" w:color="auto" w:fill="FFFFFF" w:themeFill="background1"/>
                      </w:tcPr>
                      <w:p w:rsidR="00497879" w:rsidRPr="00312ADE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Highest for NGS and least for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Wyra</w:t>
                        </w:r>
                        <w:proofErr w:type="spellEnd"/>
                      </w:p>
                    </w:tc>
                  </w:tr>
                  <w:tr w:rsidR="00497879" w:rsidRPr="00312ADE" w:rsidTr="009E2F9F">
                    <w:trPr>
                      <w:trHeight w:val="437"/>
                    </w:trPr>
                    <w:tc>
                      <w:tcPr>
                        <w:tcW w:w="1546" w:type="dxa"/>
                        <w:shd w:val="thinReverseDiagStripe" w:color="D9D9D9" w:themeColor="background1" w:themeShade="D9" w:fill="auto"/>
                        <w:vAlign w:val="center"/>
                      </w:tcPr>
                      <w:p w:rsidR="00497879" w:rsidRPr="00312ADE" w:rsidRDefault="00497879" w:rsidP="00C10589">
                        <w:pPr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Area:Catchment</w:t>
                        </w:r>
                        <w:proofErr w:type="spellEnd"/>
                      </w:p>
                    </w:tc>
                    <w:tc>
                      <w:tcPr>
                        <w:tcW w:w="8058" w:type="dxa"/>
                        <w:tcBorders>
                          <w:top w:val="dotted" w:sz="4" w:space="0" w:color="808080" w:themeColor="background1" w:themeShade="80"/>
                          <w:bottom w:val="dotted" w:sz="4" w:space="0" w:color="808080" w:themeColor="background1" w:themeShade="80"/>
                        </w:tcBorders>
                        <w:shd w:val="clear" w:color="auto" w:fill="FFFFFF" w:themeFill="background1"/>
                      </w:tcPr>
                      <w:p w:rsidR="00497879" w:rsidRPr="00312ADE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High of 756 in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Nagarjunasagar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, moderate in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Musi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(361) and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Singur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(334) and low in the rest of reservoirs. LMD has ratio of 97.</w:t>
                        </w:r>
                      </w:p>
                      <w:p w:rsidR="00497879" w:rsidRPr="00312ADE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Reservoir with high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Area:Catchment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is likely to be more productive as the influx of nutrients from 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allochthonous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source  may be high. </w:t>
                        </w:r>
                      </w:p>
                    </w:tc>
                  </w:tr>
                  <w:tr w:rsidR="00497879" w:rsidRPr="00312ADE" w:rsidTr="009E2F9F">
                    <w:trPr>
                      <w:trHeight w:val="437"/>
                    </w:trPr>
                    <w:tc>
                      <w:tcPr>
                        <w:tcW w:w="1546" w:type="dxa"/>
                        <w:shd w:val="thinReverseDiagStripe" w:color="D9D9D9" w:themeColor="background1" w:themeShade="D9" w:fill="auto"/>
                        <w:vAlign w:val="center"/>
                      </w:tcPr>
                      <w:p w:rsidR="00497879" w:rsidRPr="00312ADE" w:rsidRDefault="00497879" w:rsidP="00C10589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Flushing rate</w:t>
                        </w:r>
                      </w:p>
                    </w:tc>
                    <w:tc>
                      <w:tcPr>
                        <w:tcW w:w="8058" w:type="dxa"/>
                        <w:tcBorders>
                          <w:top w:val="dotted" w:sz="4" w:space="0" w:color="808080" w:themeColor="background1" w:themeShade="80"/>
                          <w:bottom w:val="dotted" w:sz="4" w:space="0" w:color="808080" w:themeColor="background1" w:themeShade="80"/>
                        </w:tcBorders>
                        <w:shd w:val="clear" w:color="auto" w:fill="FFFFFF" w:themeFill="background1"/>
                      </w:tcPr>
                      <w:p w:rsidR="00497879" w:rsidRPr="00312ADE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Favorable in the case of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Wyra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, NGS and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Kadam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(around 3) and low in LMD and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Musi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(around 1). </w:t>
                        </w:r>
                      </w:p>
                      <w:p w:rsidR="00497879" w:rsidRPr="00312ADE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Low flushing rate is likely to result in less loading of nutrients and organic matter into reservoir. </w:t>
                        </w:r>
                      </w:p>
                    </w:tc>
                  </w:tr>
                  <w:tr w:rsidR="00497879" w:rsidRPr="00D52BCD" w:rsidTr="009E2F9F">
                    <w:trPr>
                      <w:trHeight w:val="437"/>
                    </w:trPr>
                    <w:tc>
                      <w:tcPr>
                        <w:tcW w:w="1546" w:type="dxa"/>
                        <w:shd w:val="thinReverseDiagStripe" w:color="D9D9D9" w:themeColor="background1" w:themeShade="D9" w:fill="auto"/>
                        <w:vAlign w:val="center"/>
                      </w:tcPr>
                      <w:p w:rsidR="00497879" w:rsidRPr="00312ADE" w:rsidRDefault="00497879" w:rsidP="00C10589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Dendricity</w:t>
                        </w:r>
                        <w:proofErr w:type="spellEnd"/>
                      </w:p>
                    </w:tc>
                    <w:tc>
                      <w:tcPr>
                        <w:tcW w:w="8058" w:type="dxa"/>
                        <w:tcBorders>
                          <w:top w:val="dotted" w:sz="4" w:space="0" w:color="808080" w:themeColor="background1" w:themeShade="80"/>
                          <w:bottom w:val="dotted" w:sz="4" w:space="0" w:color="808080" w:themeColor="background1" w:themeShade="80"/>
                        </w:tcBorders>
                        <w:shd w:val="clear" w:color="auto" w:fill="FFFFFF" w:themeFill="background1"/>
                      </w:tcPr>
                      <w:p w:rsidR="00497879" w:rsidRPr="00D52BCD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proofErr w:type="spellStart"/>
                        <w:r w:rsidRPr="00D52BCD">
                          <w:rPr>
                            <w:rFonts w:cstheme="minorHAnsi"/>
                            <w:sz w:val="18"/>
                            <w:szCs w:val="18"/>
                          </w:rPr>
                          <w:t>Singur</w:t>
                        </w:r>
                        <w:proofErr w:type="spellEnd"/>
                        <w:r w:rsidRPr="00D52BCD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D52BCD">
                          <w:rPr>
                            <w:rFonts w:cstheme="minorHAnsi"/>
                            <w:sz w:val="18"/>
                            <w:szCs w:val="18"/>
                          </w:rPr>
                          <w:t>Kadam</w:t>
                        </w:r>
                        <w:proofErr w:type="spellEnd"/>
                        <w:r w:rsidRPr="00D52BCD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and </w:t>
                        </w:r>
                        <w:proofErr w:type="spellStart"/>
                        <w:r w:rsidRPr="00D52BCD">
                          <w:rPr>
                            <w:rFonts w:cstheme="minorHAnsi"/>
                            <w:sz w:val="18"/>
                            <w:szCs w:val="18"/>
                          </w:rPr>
                          <w:t>Nagarjunasagar</w:t>
                        </w:r>
                        <w:proofErr w:type="spellEnd"/>
                        <w:r w:rsidRPr="00D52BCD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are highly </w:t>
                        </w:r>
                        <w:proofErr w:type="spellStart"/>
                        <w:r w:rsidRPr="00D52BCD">
                          <w:rPr>
                            <w:rFonts w:cstheme="minorHAnsi"/>
                            <w:sz w:val="18"/>
                            <w:szCs w:val="18"/>
                          </w:rPr>
                          <w:t>dendritic</w:t>
                        </w:r>
                        <w:proofErr w:type="spellEnd"/>
                        <w:r w:rsidRPr="00D52BCD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with high Shore line development Index (SDI)</w:t>
                        </w:r>
                        <w:ins w:id="0" w:author="krishna" w:date="2018-01-17T11:25:00Z">
                          <w:r w:rsidRPr="00D52BCD">
                            <w:rPr>
                              <w:rFonts w:cstheme="minorHAnsi"/>
                              <w:sz w:val="18"/>
                              <w:szCs w:val="18"/>
                            </w:rPr>
                            <w:t xml:space="preserve"> </w:t>
                          </w:r>
                        </w:ins>
                        <w:r w:rsidRPr="00D52BCD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(around 8) whereas others are moderately </w:t>
                        </w:r>
                        <w:proofErr w:type="spellStart"/>
                        <w:r w:rsidRPr="00D52BCD">
                          <w:rPr>
                            <w:rFonts w:cstheme="minorHAnsi"/>
                            <w:sz w:val="18"/>
                            <w:szCs w:val="18"/>
                          </w:rPr>
                          <w:t>dendritic</w:t>
                        </w:r>
                        <w:proofErr w:type="spellEnd"/>
                        <w:r w:rsidRPr="00D52BCD">
                          <w:rPr>
                            <w:rFonts w:cstheme="minorHAnsi"/>
                            <w:sz w:val="18"/>
                            <w:szCs w:val="18"/>
                          </w:rPr>
                          <w:t>. The SDI value for LMD was 4.7</w:t>
                        </w:r>
                      </w:p>
                      <w:p w:rsidR="00497879" w:rsidRPr="00D52BCD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D52BCD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Reservoirs with high SDI are likely to be more productive because of larger littoral area. </w:t>
                        </w:r>
                      </w:p>
                    </w:tc>
                  </w:tr>
                  <w:tr w:rsidR="00497879" w:rsidRPr="00C777B0" w:rsidTr="009E2F9F">
                    <w:trPr>
                      <w:trHeight w:val="437"/>
                    </w:trPr>
                    <w:tc>
                      <w:tcPr>
                        <w:tcW w:w="1546" w:type="dxa"/>
                        <w:shd w:val="thinReverseDiagStripe" w:color="D9D9D9" w:themeColor="background1" w:themeShade="D9" w:fill="auto"/>
                        <w:vAlign w:val="center"/>
                      </w:tcPr>
                      <w:p w:rsidR="00497879" w:rsidRPr="00312ADE" w:rsidRDefault="00497879" w:rsidP="00C10589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Gradient basins</w:t>
                        </w:r>
                      </w:p>
                    </w:tc>
                    <w:tc>
                      <w:tcPr>
                        <w:tcW w:w="8058" w:type="dxa"/>
                        <w:tcBorders>
                          <w:top w:val="dotted" w:sz="4" w:space="0" w:color="808080" w:themeColor="background1" w:themeShade="80"/>
                          <w:bottom w:val="dotted" w:sz="4" w:space="0" w:color="808080" w:themeColor="background1" w:themeShade="80"/>
                        </w:tcBorders>
                        <w:shd w:val="clear" w:color="auto" w:fill="FFFFFF" w:themeFill="background1"/>
                      </w:tcPr>
                      <w:p w:rsidR="00497879" w:rsidRPr="00312ADE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Musi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and NGS have steep gradient basins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,  Volume Development Index (</w:t>
                        </w: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VD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I)  &gt;1; </w:t>
                        </w: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whereas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Wyra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and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Singur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have gradually sloping basins (&lt;1).</w:t>
                        </w:r>
                      </w:p>
                      <w:p w:rsidR="00497879" w:rsidRPr="00312ADE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LMD and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Kadam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have near steep gradient basins (</w:t>
                        </w:r>
                        <w:r w:rsidRPr="00D52BCD">
                          <w:rPr>
                            <w:rFonts w:cstheme="minorHAnsi"/>
                            <w:sz w:val="18"/>
                            <w:szCs w:val="18"/>
                          </w:rPr>
                          <w:t>VDI</w:t>
                        </w: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of 0.94 and 0.95 respectively)</w:t>
                        </w:r>
                      </w:p>
                    </w:tc>
                  </w:tr>
                  <w:tr w:rsidR="00497879" w:rsidRPr="00C777B0" w:rsidTr="009E2F9F">
                    <w:trPr>
                      <w:trHeight w:val="1745"/>
                    </w:trPr>
                    <w:tc>
                      <w:tcPr>
                        <w:tcW w:w="1546" w:type="dxa"/>
                        <w:shd w:val="thinReverseDiagStripe" w:color="D9D9D9" w:themeColor="background1" w:themeShade="D9" w:fill="auto"/>
                        <w:vAlign w:val="center"/>
                      </w:tcPr>
                      <w:p w:rsidR="00497879" w:rsidRPr="00312ADE" w:rsidRDefault="00497879" w:rsidP="00C10589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Est. Potential fish production  (Kg/ha) on the basis of carbon assimilation</w:t>
                        </w:r>
                      </w:p>
                    </w:tc>
                    <w:tc>
                      <w:tcPr>
                        <w:tcW w:w="8058" w:type="dxa"/>
                        <w:tcBorders>
                          <w:top w:val="dotted" w:sz="4" w:space="0" w:color="808080" w:themeColor="background1" w:themeShade="80"/>
                          <w:bottom w:val="dotted" w:sz="4" w:space="0" w:color="808080" w:themeColor="background1" w:themeShade="80"/>
                        </w:tcBorders>
                        <w:shd w:val="clear" w:color="auto" w:fill="FFFFFF" w:themeFill="background1"/>
                      </w:tcPr>
                      <w:p w:rsidR="00497879" w:rsidRPr="00312ADE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Potential fish production (kg/ha) has been estimated,  on the basis of carbon assimilation, at 159 kg in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Wyra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, 115 kg in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Kadam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, 114 kg in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Srisailam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, 83 kg in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Singur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,  79 kg in LMD and 69 kg in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N.sagar</w:t>
                        </w:r>
                        <w:proofErr w:type="spellEnd"/>
                      </w:p>
                      <w:p w:rsidR="00497879" w:rsidRPr="00312ADE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Wyra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,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Kadam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are in higher category of production with a potential higher than 100 kg/ha and in others the range being 69 to 92 kg/ha. </w:t>
                        </w:r>
                      </w:p>
                      <w:p w:rsidR="00497879" w:rsidRPr="00312ADE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In all probability, the actual yield would be much higher because the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allochthonous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organic matter contributes substantially to fish yield in reservoirs</w:t>
                        </w:r>
                      </w:p>
                      <w:p w:rsidR="00497879" w:rsidRPr="00312ADE" w:rsidRDefault="00497879" w:rsidP="00C10589">
                        <w:pPr>
                          <w:jc w:val="both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No effort has been made to estimate the potential production of </w:t>
                        </w:r>
                        <w:proofErr w:type="spellStart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>Musi</w:t>
                        </w:r>
                        <w:proofErr w:type="spellEnd"/>
                        <w:r w:rsidRPr="00312ADE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as it is a polluted reservoir. Its potential is bound to be substantially higher than all the reservoirs studied (CIFRI, 1998). </w:t>
                        </w:r>
                      </w:p>
                    </w:tc>
                  </w:tr>
                </w:tbl>
                <w:p w:rsidR="00497879" w:rsidRDefault="00497879" w:rsidP="00046D41">
                  <w:pPr>
                    <w:spacing w:after="0"/>
                    <w:ind w:left="-11"/>
                  </w:pPr>
                  <w:r w:rsidRPr="00312ADE">
                    <w:rPr>
                      <w:sz w:val="18"/>
                      <w:szCs w:val="18"/>
                    </w:rPr>
                    <w:t xml:space="preserve">Source: 1.India-WRIS (Water Resources Information System) 2. Irrigation &amp; CAD Department </w:t>
                  </w:r>
                </w:p>
              </w:txbxContent>
            </v:textbox>
          </v:rect>
        </w:pict>
      </w:r>
    </w:p>
    <w:p w:rsidR="00712881" w:rsidRDefault="00712881" w:rsidP="009E2F9F">
      <w:pPr>
        <w:spacing w:after="0"/>
        <w:jc w:val="center"/>
        <w:rPr>
          <w:rFonts w:cstheme="minorHAnsi"/>
          <w:b/>
        </w:rPr>
      </w:pPr>
    </w:p>
    <w:p w:rsidR="00712881" w:rsidRDefault="00712881" w:rsidP="009E2F9F">
      <w:pPr>
        <w:spacing w:after="0"/>
        <w:jc w:val="center"/>
        <w:rPr>
          <w:rFonts w:cstheme="minorHAnsi"/>
          <w:b/>
        </w:rPr>
      </w:pPr>
    </w:p>
    <w:p w:rsidR="00046D41" w:rsidRPr="004E06CE" w:rsidRDefault="00046D41" w:rsidP="004E06CE">
      <w:pPr>
        <w:spacing w:after="0"/>
        <w:rPr>
          <w:rFonts w:cstheme="minorHAnsi"/>
          <w:b/>
        </w:rPr>
      </w:pPr>
    </w:p>
    <w:p w:rsidR="00FF6A08" w:rsidRDefault="00FF6A08"/>
    <w:p w:rsidR="00046D41" w:rsidRDefault="00046D41"/>
    <w:p w:rsidR="00046D41" w:rsidRDefault="00046D41"/>
    <w:p w:rsidR="00046D41" w:rsidRDefault="00046D41"/>
    <w:p w:rsidR="00046D41" w:rsidRDefault="00046D41"/>
    <w:p w:rsidR="00046D41" w:rsidRDefault="00046D41"/>
    <w:p w:rsidR="00046D41" w:rsidRDefault="00046D41"/>
    <w:p w:rsidR="00046D41" w:rsidRDefault="00046D41"/>
    <w:p w:rsidR="00046D41" w:rsidRDefault="00046D41"/>
    <w:p w:rsidR="00046D41" w:rsidRDefault="00046D41"/>
    <w:tbl>
      <w:tblPr>
        <w:tblStyle w:val="TableGrid"/>
        <w:tblpPr w:leftFromText="180" w:rightFromText="180" w:vertAnchor="text" w:horzAnchor="margin" w:tblpXSpec="center" w:tblpY="31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8280"/>
      </w:tblGrid>
      <w:tr w:rsidR="00712881" w:rsidRPr="00106E5E" w:rsidTr="00712881">
        <w:trPr>
          <w:trHeight w:val="525"/>
        </w:trPr>
        <w:tc>
          <w:tcPr>
            <w:tcW w:w="1548" w:type="dxa"/>
            <w:shd w:val="thinReverseDiagStripe" w:color="D9D9D9" w:themeColor="background1" w:themeShade="D9" w:fill="auto"/>
            <w:vAlign w:val="center"/>
          </w:tcPr>
          <w:p w:rsidR="007C0698" w:rsidRDefault="007C0698" w:rsidP="00712881">
            <w:pPr>
              <w:pStyle w:val="m8501693941300586370gmail-msonormal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bCs/>
                <w:i/>
                <w:iCs/>
                <w:color w:val="222222"/>
                <w:sz w:val="18"/>
                <w:szCs w:val="20"/>
              </w:rPr>
            </w:pPr>
          </w:p>
          <w:p w:rsidR="00712881" w:rsidRPr="00EC0C30" w:rsidRDefault="00712881" w:rsidP="00712881">
            <w:pPr>
              <w:pStyle w:val="m8501693941300586370gmail-msonormal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bCs/>
                <w:i/>
                <w:iCs/>
                <w:color w:val="222222"/>
                <w:sz w:val="18"/>
                <w:szCs w:val="20"/>
              </w:rPr>
            </w:pPr>
            <w:proofErr w:type="spellStart"/>
            <w:r w:rsidRPr="00106E5E">
              <w:rPr>
                <w:rFonts w:asciiTheme="minorHAnsi" w:hAnsiTheme="minorHAnsi" w:cstheme="minorHAnsi"/>
                <w:b/>
                <w:bCs/>
                <w:i/>
                <w:iCs/>
                <w:color w:val="222222"/>
                <w:sz w:val="18"/>
                <w:szCs w:val="20"/>
              </w:rPr>
              <w:t>Abiotic</w:t>
            </w:r>
            <w:proofErr w:type="spellEnd"/>
            <w:r w:rsidRPr="00106E5E">
              <w:rPr>
                <w:rFonts w:asciiTheme="minorHAnsi" w:hAnsiTheme="minorHAnsi" w:cstheme="minorHAnsi"/>
                <w:b/>
                <w:bCs/>
                <w:i/>
                <w:iCs/>
                <w:color w:val="222222"/>
                <w:sz w:val="18"/>
                <w:szCs w:val="20"/>
              </w:rPr>
              <w:t xml:space="preserve"> parameters </w:t>
            </w:r>
          </w:p>
        </w:tc>
        <w:tc>
          <w:tcPr>
            <w:tcW w:w="828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FFFFF" w:themeFill="background1"/>
          </w:tcPr>
          <w:p w:rsidR="007C0698" w:rsidRDefault="007C0698" w:rsidP="00712881">
            <w:pPr>
              <w:pStyle w:val="m8501693941300586370gmail-msonormal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bCs/>
                <w:i/>
                <w:iCs/>
                <w:color w:val="222222"/>
                <w:sz w:val="18"/>
                <w:szCs w:val="20"/>
              </w:rPr>
            </w:pPr>
          </w:p>
          <w:p w:rsidR="00712881" w:rsidRPr="00106E5E" w:rsidRDefault="00712881" w:rsidP="00712881">
            <w:pPr>
              <w:pStyle w:val="m8501693941300586370gmail-msonormal"/>
              <w:shd w:val="clear" w:color="auto" w:fill="FFFFFF"/>
              <w:spacing w:before="0" w:beforeAutospacing="0" w:after="0" w:afterAutospacing="0" w:line="276" w:lineRule="auto"/>
              <w:rPr>
                <w:rFonts w:cstheme="minorHAnsi"/>
                <w:sz w:val="18"/>
                <w:szCs w:val="20"/>
              </w:rPr>
            </w:pPr>
            <w:r w:rsidRPr="00106E5E">
              <w:rPr>
                <w:rFonts w:asciiTheme="minorHAnsi" w:hAnsiTheme="minorHAnsi" w:cstheme="minorHAnsi"/>
                <w:b/>
                <w:bCs/>
                <w:i/>
                <w:iCs/>
                <w:color w:val="222222"/>
                <w:sz w:val="18"/>
                <w:szCs w:val="20"/>
              </w:rPr>
              <w:t xml:space="preserve">Vertical distribution of </w:t>
            </w:r>
            <w:proofErr w:type="spellStart"/>
            <w:r w:rsidRPr="00106E5E">
              <w:rPr>
                <w:rFonts w:asciiTheme="minorHAnsi" w:hAnsiTheme="minorHAnsi" w:cstheme="minorHAnsi"/>
                <w:b/>
                <w:bCs/>
                <w:i/>
                <w:iCs/>
                <w:color w:val="222222"/>
                <w:sz w:val="18"/>
                <w:szCs w:val="20"/>
              </w:rPr>
              <w:t>physico</w:t>
            </w:r>
            <w:proofErr w:type="spellEnd"/>
            <w:r w:rsidRPr="00106E5E">
              <w:rPr>
                <w:rFonts w:asciiTheme="minorHAnsi" w:hAnsiTheme="minorHAnsi" w:cstheme="minorHAnsi"/>
                <w:b/>
                <w:bCs/>
                <w:i/>
                <w:iCs/>
                <w:color w:val="222222"/>
                <w:sz w:val="18"/>
                <w:szCs w:val="20"/>
              </w:rPr>
              <w:t>-chemical parameters</w:t>
            </w:r>
          </w:p>
        </w:tc>
      </w:tr>
      <w:tr w:rsidR="00712881" w:rsidRPr="00106E5E" w:rsidTr="00712881">
        <w:trPr>
          <w:trHeight w:val="449"/>
        </w:trPr>
        <w:tc>
          <w:tcPr>
            <w:tcW w:w="1548" w:type="dxa"/>
            <w:shd w:val="thinReverseDiagStripe" w:color="D9D9D9" w:themeColor="background1" w:themeShade="D9" w:fill="auto"/>
            <w:vAlign w:val="center"/>
          </w:tcPr>
          <w:p w:rsidR="00712881" w:rsidRPr="00106E5E" w:rsidRDefault="00712881" w:rsidP="00712881">
            <w:pPr>
              <w:pStyle w:val="m8501693941300586370gmail-msonormal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bCs/>
                <w:i/>
                <w:iCs/>
                <w:color w:val="222222"/>
                <w:sz w:val="18"/>
                <w:szCs w:val="20"/>
              </w:rPr>
            </w:pPr>
            <w:r w:rsidRPr="00106E5E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20"/>
              </w:rPr>
              <w:t>LMD</w:t>
            </w:r>
          </w:p>
        </w:tc>
        <w:tc>
          <w:tcPr>
            <w:tcW w:w="828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FFFFF" w:themeFill="background1"/>
          </w:tcPr>
          <w:p w:rsidR="00712881" w:rsidRPr="00106E5E" w:rsidRDefault="00712881" w:rsidP="00712881">
            <w:pPr>
              <w:pStyle w:val="m8501693941300586370gmail-msonormal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222222"/>
                <w:sz w:val="18"/>
                <w:szCs w:val="20"/>
              </w:rPr>
            </w:pPr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The vertical distribution of nutrients showed </w:t>
            </w: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orthograde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 distribution with mild variation from surface to bottom. Data is insufficient to make any inference.</w:t>
            </w:r>
          </w:p>
        </w:tc>
      </w:tr>
      <w:tr w:rsidR="00712881" w:rsidRPr="00106E5E" w:rsidTr="00712881">
        <w:trPr>
          <w:trHeight w:val="449"/>
        </w:trPr>
        <w:tc>
          <w:tcPr>
            <w:tcW w:w="1548" w:type="dxa"/>
            <w:shd w:val="thinReverseDiagStripe" w:color="D9D9D9" w:themeColor="background1" w:themeShade="D9" w:fill="auto"/>
            <w:vAlign w:val="center"/>
          </w:tcPr>
          <w:p w:rsidR="00712881" w:rsidRPr="00106E5E" w:rsidRDefault="00712881" w:rsidP="00712881">
            <w:pPr>
              <w:pStyle w:val="m8501693941300586370gmail-msonormal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20"/>
              </w:rPr>
            </w:pPr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 </w:t>
            </w:r>
            <w:proofErr w:type="spellStart"/>
            <w:r w:rsidRPr="00106E5E">
              <w:rPr>
                <w:rFonts w:asciiTheme="minorHAnsi" w:hAnsiTheme="minorHAnsi" w:cstheme="minorHAnsi"/>
                <w:i/>
                <w:iCs/>
                <w:color w:val="222222"/>
                <w:sz w:val="18"/>
                <w:szCs w:val="20"/>
              </w:rPr>
              <w:t>Nizamsagar</w:t>
            </w:r>
            <w:proofErr w:type="spellEnd"/>
          </w:p>
        </w:tc>
        <w:tc>
          <w:tcPr>
            <w:tcW w:w="828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FFFFF" w:themeFill="background1"/>
          </w:tcPr>
          <w:p w:rsidR="00712881" w:rsidRPr="00106E5E" w:rsidRDefault="00712881" w:rsidP="00712881">
            <w:pPr>
              <w:pStyle w:val="m8501693941300586370gmail-msonormal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Thermocline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 was observed between 1 and 2 m depth with a drop of 0.3</w:t>
            </w:r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vertAlign w:val="superscript"/>
              </w:rPr>
              <w:t>0</w:t>
            </w:r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 C. pH variation from surface to 5 meters depth was from 7.2 to 6.8. Oxygen showed significant variation with 5.2 mg/l at surface and 2.0 m at 5.0 m depth indicating high decomposition activity, an index of productivity.  The conductivity and alkalinity values exhibited </w:t>
            </w: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orthograde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 distribution</w:t>
            </w:r>
          </w:p>
        </w:tc>
      </w:tr>
      <w:tr w:rsidR="00712881" w:rsidRPr="00106E5E" w:rsidTr="00712881">
        <w:trPr>
          <w:trHeight w:val="449"/>
        </w:trPr>
        <w:tc>
          <w:tcPr>
            <w:tcW w:w="1548" w:type="dxa"/>
            <w:shd w:val="thinReverseDiagStripe" w:color="D9D9D9" w:themeColor="background1" w:themeShade="D9" w:fill="auto"/>
            <w:vAlign w:val="center"/>
          </w:tcPr>
          <w:p w:rsidR="00712881" w:rsidRPr="00106E5E" w:rsidRDefault="00712881" w:rsidP="00712881">
            <w:pPr>
              <w:pStyle w:val="m8501693941300586370gmail-msonormal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222222"/>
                <w:sz w:val="18"/>
                <w:szCs w:val="20"/>
              </w:rPr>
            </w:pPr>
            <w:proofErr w:type="spellStart"/>
            <w:r w:rsidRPr="00106E5E">
              <w:rPr>
                <w:rFonts w:asciiTheme="minorHAnsi" w:hAnsiTheme="minorHAnsi" w:cstheme="minorHAnsi"/>
                <w:i/>
                <w:iCs/>
                <w:color w:val="222222"/>
                <w:sz w:val="18"/>
                <w:szCs w:val="20"/>
              </w:rPr>
              <w:t>Pocharam</w:t>
            </w:r>
            <w:proofErr w:type="spellEnd"/>
          </w:p>
          <w:p w:rsidR="00712881" w:rsidRPr="00106E5E" w:rsidRDefault="00712881" w:rsidP="00712881">
            <w:pPr>
              <w:pStyle w:val="m8501693941300586370gmail-msonormal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bCs/>
                <w:i/>
                <w:iCs/>
                <w:color w:val="222222"/>
                <w:sz w:val="18"/>
                <w:szCs w:val="20"/>
              </w:rPr>
            </w:pPr>
          </w:p>
        </w:tc>
        <w:tc>
          <w:tcPr>
            <w:tcW w:w="828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FFFFF" w:themeFill="background1"/>
          </w:tcPr>
          <w:p w:rsidR="00712881" w:rsidRPr="00106E5E" w:rsidRDefault="00712881" w:rsidP="00712881">
            <w:pPr>
              <w:pStyle w:val="m8501693941300586370gmail-msonormal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222222"/>
                <w:sz w:val="18"/>
                <w:szCs w:val="20"/>
              </w:rPr>
            </w:pPr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Temperature declined by 1.6 m in the </w:t>
            </w: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thermocline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 between 4 and 6 m.  </w:t>
            </w:r>
            <w:proofErr w:type="gram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pH</w:t>
            </w:r>
            <w:proofErr w:type="gram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 and oxygen showed strong </w:t>
            </w: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clinograde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 distribution. Oxygen declined from 8.8 at surface to a low of a </w:t>
            </w:r>
            <w:proofErr w:type="gram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2.0  mg</w:t>
            </w:r>
            <w:proofErr w:type="gram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/l at 8 m. pH declined from 7.8 to 6.8 from surface to 8 m depth. Alkalinity and conductivity exhibited negligible vertical gradient which may be due to mixing of water column in the recent past. The </w:t>
            </w: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clinograde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 distribution indicates high decomposition activity, an index of productivity.</w:t>
            </w:r>
          </w:p>
        </w:tc>
      </w:tr>
      <w:tr w:rsidR="00712881" w:rsidRPr="00106E5E" w:rsidTr="00712881">
        <w:trPr>
          <w:trHeight w:val="206"/>
        </w:trPr>
        <w:tc>
          <w:tcPr>
            <w:tcW w:w="1548" w:type="dxa"/>
            <w:shd w:val="thinReverseDiagStripe" w:color="D9D9D9" w:themeColor="background1" w:themeShade="D9" w:fill="auto"/>
            <w:vAlign w:val="center"/>
          </w:tcPr>
          <w:p w:rsidR="00712881" w:rsidRPr="00106E5E" w:rsidRDefault="00712881" w:rsidP="00712881">
            <w:pPr>
              <w:pStyle w:val="m8501693941300586370gmail-msonormal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i/>
                <w:iCs/>
                <w:color w:val="222222"/>
                <w:sz w:val="18"/>
                <w:szCs w:val="20"/>
              </w:rPr>
            </w:pPr>
            <w:proofErr w:type="spellStart"/>
            <w:r w:rsidRPr="00106E5E">
              <w:rPr>
                <w:rFonts w:asciiTheme="minorHAnsi" w:hAnsiTheme="minorHAnsi" w:cstheme="minorHAnsi"/>
                <w:i/>
                <w:iCs/>
                <w:color w:val="222222"/>
                <w:sz w:val="18"/>
                <w:szCs w:val="20"/>
              </w:rPr>
              <w:t>Rali</w:t>
            </w:r>
            <w:proofErr w:type="spellEnd"/>
            <w:r w:rsidRPr="00106E5E">
              <w:rPr>
                <w:rFonts w:asciiTheme="minorHAnsi" w:hAnsiTheme="minorHAnsi" w:cstheme="minorHAnsi"/>
                <w:i/>
                <w:iCs/>
                <w:color w:val="222222"/>
                <w:sz w:val="18"/>
                <w:szCs w:val="20"/>
              </w:rPr>
              <w:t xml:space="preserve"> </w:t>
            </w:r>
            <w:proofErr w:type="spellStart"/>
            <w:r w:rsidRPr="00106E5E">
              <w:rPr>
                <w:rFonts w:asciiTheme="minorHAnsi" w:hAnsiTheme="minorHAnsi" w:cstheme="minorHAnsi"/>
                <w:i/>
                <w:iCs/>
                <w:color w:val="222222"/>
                <w:sz w:val="18"/>
                <w:szCs w:val="20"/>
              </w:rPr>
              <w:t>Vagu</w:t>
            </w:r>
            <w:proofErr w:type="spellEnd"/>
          </w:p>
        </w:tc>
        <w:tc>
          <w:tcPr>
            <w:tcW w:w="828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FFFFF" w:themeFill="background1"/>
          </w:tcPr>
          <w:p w:rsidR="00712881" w:rsidRPr="00106E5E" w:rsidRDefault="00712881" w:rsidP="00712881">
            <w:pPr>
              <w:pStyle w:val="m8501693941300586370gmail-msonormal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Orthograde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 distribution of </w:t>
            </w: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physico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-chemical parameters was observed</w:t>
            </w:r>
          </w:p>
        </w:tc>
      </w:tr>
      <w:tr w:rsidR="00712881" w:rsidRPr="00106E5E" w:rsidTr="00712881">
        <w:trPr>
          <w:trHeight w:val="449"/>
        </w:trPr>
        <w:tc>
          <w:tcPr>
            <w:tcW w:w="1548" w:type="dxa"/>
            <w:shd w:val="thinReverseDiagStripe" w:color="D9D9D9" w:themeColor="background1" w:themeShade="D9" w:fill="auto"/>
            <w:vAlign w:val="center"/>
          </w:tcPr>
          <w:p w:rsidR="00712881" w:rsidRPr="00106E5E" w:rsidRDefault="00712881" w:rsidP="00712881">
            <w:pPr>
              <w:pStyle w:val="m8501693941300586370gmail-msonormal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i/>
                <w:iCs/>
                <w:color w:val="222222"/>
                <w:sz w:val="18"/>
                <w:szCs w:val="20"/>
              </w:rPr>
            </w:pPr>
            <w:proofErr w:type="spellStart"/>
            <w:r w:rsidRPr="00106E5E">
              <w:rPr>
                <w:rFonts w:asciiTheme="minorHAnsi" w:hAnsiTheme="minorHAnsi" w:cstheme="minorHAnsi"/>
                <w:i/>
                <w:iCs/>
                <w:color w:val="222222"/>
                <w:sz w:val="18"/>
                <w:szCs w:val="20"/>
              </w:rPr>
              <w:t>Golla</w:t>
            </w:r>
            <w:proofErr w:type="spellEnd"/>
            <w:r w:rsidRPr="00106E5E">
              <w:rPr>
                <w:rFonts w:asciiTheme="minorHAnsi" w:hAnsiTheme="minorHAnsi" w:cstheme="minorHAnsi"/>
                <w:i/>
                <w:iCs/>
                <w:color w:val="222222"/>
                <w:sz w:val="18"/>
                <w:szCs w:val="20"/>
              </w:rPr>
              <w:t xml:space="preserve"> </w:t>
            </w:r>
            <w:proofErr w:type="spellStart"/>
            <w:r w:rsidRPr="00106E5E">
              <w:rPr>
                <w:rFonts w:asciiTheme="minorHAnsi" w:hAnsiTheme="minorHAnsi" w:cstheme="minorHAnsi"/>
                <w:i/>
                <w:iCs/>
                <w:color w:val="222222"/>
                <w:sz w:val="18"/>
                <w:szCs w:val="20"/>
              </w:rPr>
              <w:t>vagu</w:t>
            </w:r>
            <w:proofErr w:type="spellEnd"/>
          </w:p>
        </w:tc>
        <w:tc>
          <w:tcPr>
            <w:tcW w:w="828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FFFFF" w:themeFill="background1"/>
          </w:tcPr>
          <w:p w:rsidR="00712881" w:rsidRPr="00106E5E" w:rsidRDefault="00712881" w:rsidP="00712881">
            <w:pPr>
              <w:pStyle w:val="m8501693941300586370gmail-msonormal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Thermocline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 was observed between 2 and 5 meters with drop of temperature by 0.6</w:t>
            </w:r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vertAlign w:val="superscript"/>
              </w:rPr>
              <w:t>0 </w:t>
            </w:r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C. Oxygen and pH showed </w:t>
            </w: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clinograde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 distribution with anoxic condition at the bottom layers</w:t>
            </w:r>
          </w:p>
        </w:tc>
      </w:tr>
      <w:tr w:rsidR="00712881" w:rsidRPr="00106E5E" w:rsidTr="00712881">
        <w:trPr>
          <w:trHeight w:val="2312"/>
        </w:trPr>
        <w:tc>
          <w:tcPr>
            <w:tcW w:w="1548" w:type="dxa"/>
            <w:shd w:val="thinReverseDiagStripe" w:color="D9D9D9" w:themeColor="background1" w:themeShade="D9" w:fill="auto"/>
            <w:vAlign w:val="center"/>
          </w:tcPr>
          <w:p w:rsidR="00712881" w:rsidRPr="00106E5E" w:rsidRDefault="00712881" w:rsidP="00712881">
            <w:pPr>
              <w:pStyle w:val="m8501693941300586370gmail-msonormal"/>
              <w:shd w:val="clear" w:color="auto" w:fill="FFFFFF"/>
              <w:spacing w:before="0" w:beforeAutospacing="0" w:after="0" w:afterAutospacing="0" w:line="276" w:lineRule="auto"/>
              <w:rPr>
                <w:rFonts w:asciiTheme="minorHAnsi" w:hAnsiTheme="minorHAnsi" w:cstheme="minorHAnsi"/>
                <w:i/>
                <w:iCs/>
                <w:color w:val="222222"/>
                <w:sz w:val="18"/>
                <w:szCs w:val="20"/>
              </w:rPr>
            </w:pPr>
            <w:r w:rsidRPr="00106E5E">
              <w:rPr>
                <w:rFonts w:asciiTheme="minorHAnsi" w:hAnsiTheme="minorHAnsi" w:cstheme="minorHAnsi"/>
                <w:i/>
                <w:iCs/>
                <w:color w:val="222222"/>
                <w:sz w:val="18"/>
                <w:szCs w:val="20"/>
              </w:rPr>
              <w:t xml:space="preserve">General Observations </w:t>
            </w:r>
          </w:p>
        </w:tc>
        <w:tc>
          <w:tcPr>
            <w:tcW w:w="828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FFFFF" w:themeFill="background1"/>
          </w:tcPr>
          <w:p w:rsidR="00712881" w:rsidRPr="00106E5E" w:rsidRDefault="00712881" w:rsidP="00712881">
            <w:pPr>
              <w:rPr>
                <w:rFonts w:cstheme="minorHAnsi"/>
                <w:color w:val="000000"/>
                <w:sz w:val="18"/>
                <w:szCs w:val="20"/>
                <w:shd w:val="clear" w:color="auto" w:fill="FFFFFF"/>
              </w:rPr>
            </w:pPr>
            <w:r w:rsidRPr="00106E5E">
              <w:rPr>
                <w:rFonts w:cstheme="minorHAnsi"/>
                <w:color w:val="000000"/>
                <w:sz w:val="18"/>
                <w:szCs w:val="20"/>
                <w:shd w:val="clear" w:color="auto" w:fill="FFFFFF"/>
              </w:rPr>
              <w:t xml:space="preserve">Habitat variables responsible for a reservoir's productivity </w:t>
            </w:r>
          </w:p>
          <w:p w:rsidR="00712881" w:rsidRPr="00106E5E" w:rsidRDefault="00712881" w:rsidP="00712881">
            <w:pPr>
              <w:pStyle w:val="ListParagraph"/>
              <w:numPr>
                <w:ilvl w:val="0"/>
                <w:numId w:val="2"/>
              </w:numPr>
              <w:ind w:left="176" w:hanging="284"/>
              <w:rPr>
                <w:rFonts w:cstheme="minorHAnsi"/>
                <w:i/>
                <w:iCs/>
                <w:color w:val="222222"/>
                <w:sz w:val="18"/>
                <w:szCs w:val="20"/>
              </w:rPr>
            </w:pPr>
            <w:r w:rsidRPr="00106E5E">
              <w:rPr>
                <w:rFonts w:cstheme="minorHAnsi"/>
                <w:sz w:val="18"/>
                <w:szCs w:val="20"/>
              </w:rPr>
              <w:t>Most reservoirs visited are generally shallow,  not well sheltered and reported high w</w:t>
            </w:r>
            <w:r w:rsidRPr="00106E5E">
              <w:rPr>
                <w:rFonts w:cstheme="minorHAnsi"/>
                <w:color w:val="000000"/>
                <w:sz w:val="18"/>
                <w:szCs w:val="20"/>
                <w:shd w:val="clear" w:color="auto" w:fill="FFFFFF"/>
              </w:rPr>
              <w:t>ind velocity during monsoon and pre-monsoon months, high water temperature throughout the year,</w:t>
            </w:r>
            <w:r w:rsidRPr="00106E5E">
              <w:rPr>
                <w:rFonts w:cstheme="minorHAnsi"/>
                <w:b/>
                <w:sz w:val="18"/>
                <w:szCs w:val="20"/>
              </w:rPr>
              <w:t xml:space="preserve"> </w:t>
            </w:r>
            <w:r w:rsidRPr="00106E5E">
              <w:rPr>
                <w:rFonts w:cstheme="minorHAnsi"/>
                <w:color w:val="000000"/>
                <w:sz w:val="18"/>
                <w:szCs w:val="20"/>
                <w:shd w:val="clear" w:color="auto" w:fill="FFFFFF"/>
              </w:rPr>
              <w:t>continuous drawdown, low to medium wind and wave mediated turbulence, thermal stratification during the summer stagnation</w:t>
            </w:r>
            <w:r w:rsidRPr="00106E5E">
              <w:rPr>
                <w:rFonts w:cstheme="minorHAnsi"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  <w:p w:rsidR="00712881" w:rsidRPr="00106E5E" w:rsidRDefault="00712881" w:rsidP="00712881">
            <w:pPr>
              <w:pStyle w:val="m8501693941300586370gmail-msonormal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176" w:hanging="284"/>
              <w:jc w:val="both"/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</w:pPr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 xml:space="preserve">Water replenishment was high in most of the balancing reservoirs </w:t>
            </w: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>eg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 xml:space="preserve">. </w:t>
            </w: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>Sarala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 xml:space="preserve"> </w:t>
            </w: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>sagar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 xml:space="preserve"> and also in small reservoirs  viz., </w:t>
            </w: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>ralivagu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 xml:space="preserve"> and </w:t>
            </w: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>Gollavagu</w:t>
            </w:r>
            <w:proofErr w:type="spellEnd"/>
          </w:p>
          <w:p w:rsidR="00712881" w:rsidRPr="00106E5E" w:rsidRDefault="00712881" w:rsidP="00712881">
            <w:pPr>
              <w:pStyle w:val="m8501693941300586370gmail-msonormal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76" w:lineRule="auto"/>
              <w:ind w:left="176" w:hanging="284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 xml:space="preserve">Main soil types are alluvial, deep and medium black, red and </w:t>
            </w: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>laterite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>.</w:t>
            </w:r>
            <w:r w:rsidRPr="00106E5E">
              <w:rPr>
                <w:rFonts w:asciiTheme="minorHAnsi" w:hAnsiTheme="minorHAnsi" w:cstheme="minorHAnsi"/>
                <w:sz w:val="18"/>
                <w:szCs w:val="20"/>
              </w:rPr>
              <w:t xml:space="preserve"> The principal type of soil present in the catchment area, apart from the red soil, is black cotton mixed soil</w:t>
            </w:r>
          </w:p>
          <w:p w:rsidR="00712881" w:rsidRPr="00106E5E" w:rsidRDefault="00712881" w:rsidP="00712881">
            <w:pPr>
              <w:pStyle w:val="m8501693941300586370gmail-msonormal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76" w:lineRule="auto"/>
              <w:ind w:left="176" w:hanging="284"/>
              <w:jc w:val="both"/>
              <w:rPr>
                <w:rFonts w:asciiTheme="minorHAnsi" w:hAnsiTheme="minorHAnsi" w:cstheme="minorHAnsi"/>
                <w:i/>
                <w:iCs/>
                <w:color w:val="222222"/>
                <w:sz w:val="18"/>
                <w:szCs w:val="20"/>
              </w:rPr>
            </w:pPr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 xml:space="preserve">Age of the reservoir seems to have an influence on the </w:t>
            </w:r>
            <w:proofErr w:type="spellStart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>macrophyte</w:t>
            </w:r>
            <w:proofErr w:type="spellEnd"/>
            <w:r w:rsidRPr="00106E5E">
              <w:rPr>
                <w:rFonts w:asciiTheme="minorHAnsi" w:hAnsiTheme="minorHAnsi" w:cstheme="minorHAnsi"/>
                <w:color w:val="000000"/>
                <w:sz w:val="18"/>
                <w:szCs w:val="20"/>
                <w:shd w:val="clear" w:color="auto" w:fill="FFFFFF"/>
              </w:rPr>
              <w:t xml:space="preserve"> community</w:t>
            </w:r>
            <w:r w:rsidRPr="00106E5E">
              <w:rPr>
                <w:rFonts w:asciiTheme="minorHAnsi" w:hAnsiTheme="minorHAnsi" w:cstheme="minorHAnsi"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  <w:p w:rsidR="00712881" w:rsidRPr="00106E5E" w:rsidRDefault="00712881" w:rsidP="00712881">
            <w:pPr>
              <w:rPr>
                <w:color w:val="000000"/>
                <w:sz w:val="18"/>
                <w:szCs w:val="20"/>
              </w:rPr>
            </w:pPr>
            <w:proofErr w:type="spellStart"/>
            <w:r w:rsidRPr="00106E5E">
              <w:rPr>
                <w:sz w:val="18"/>
                <w:szCs w:val="20"/>
              </w:rPr>
              <w:t>Pocharam</w:t>
            </w:r>
            <w:proofErr w:type="spellEnd"/>
            <w:r w:rsidRPr="00106E5E">
              <w:rPr>
                <w:sz w:val="18"/>
                <w:szCs w:val="20"/>
              </w:rPr>
              <w:t xml:space="preserve">, </w:t>
            </w:r>
            <w:proofErr w:type="spellStart"/>
            <w:r w:rsidRPr="00106E5E">
              <w:rPr>
                <w:sz w:val="18"/>
                <w:szCs w:val="20"/>
              </w:rPr>
              <w:t>Nizamsagar</w:t>
            </w:r>
            <w:proofErr w:type="spellEnd"/>
            <w:r w:rsidRPr="00106E5E">
              <w:rPr>
                <w:sz w:val="18"/>
                <w:szCs w:val="20"/>
              </w:rPr>
              <w:t xml:space="preserve"> and </w:t>
            </w:r>
            <w:proofErr w:type="spellStart"/>
            <w:r w:rsidRPr="00106E5E">
              <w:rPr>
                <w:sz w:val="18"/>
                <w:szCs w:val="20"/>
              </w:rPr>
              <w:t>Golla</w:t>
            </w:r>
            <w:proofErr w:type="spellEnd"/>
            <w:r w:rsidRPr="00106E5E">
              <w:rPr>
                <w:sz w:val="18"/>
                <w:szCs w:val="20"/>
              </w:rPr>
              <w:t xml:space="preserve"> </w:t>
            </w:r>
            <w:proofErr w:type="spellStart"/>
            <w:r w:rsidRPr="00106E5E">
              <w:rPr>
                <w:sz w:val="18"/>
                <w:szCs w:val="20"/>
              </w:rPr>
              <w:t>Vagu</w:t>
            </w:r>
            <w:proofErr w:type="spellEnd"/>
            <w:r w:rsidRPr="00106E5E">
              <w:rPr>
                <w:sz w:val="18"/>
                <w:szCs w:val="20"/>
              </w:rPr>
              <w:t xml:space="preserve"> reservoirs appears to be productive as Oxygen exhibited strong </w:t>
            </w:r>
            <w:proofErr w:type="spellStart"/>
            <w:r w:rsidRPr="00106E5E">
              <w:rPr>
                <w:sz w:val="18"/>
                <w:szCs w:val="20"/>
              </w:rPr>
              <w:t>clinograde</w:t>
            </w:r>
            <w:proofErr w:type="spellEnd"/>
            <w:r w:rsidRPr="00106E5E">
              <w:rPr>
                <w:sz w:val="18"/>
                <w:szCs w:val="20"/>
              </w:rPr>
              <w:t xml:space="preserve"> distribution, which is due to high decomposition activity</w:t>
            </w:r>
          </w:p>
        </w:tc>
      </w:tr>
    </w:tbl>
    <w:p w:rsidR="00046D41" w:rsidRDefault="00046D41"/>
    <w:sectPr w:rsidR="00046D41" w:rsidSect="00605851">
      <w:pgSz w:w="11906" w:h="16838"/>
      <w:pgMar w:top="810" w:right="1440" w:bottom="126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00D" w:rsidRDefault="00A0400D" w:rsidP="009E2F9F">
      <w:pPr>
        <w:spacing w:after="0" w:line="240" w:lineRule="auto"/>
      </w:pPr>
      <w:r>
        <w:separator/>
      </w:r>
    </w:p>
  </w:endnote>
  <w:endnote w:type="continuationSeparator" w:id="0">
    <w:p w:rsidR="00A0400D" w:rsidRDefault="00A0400D" w:rsidP="009E2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00D" w:rsidRDefault="00A0400D" w:rsidP="009E2F9F">
      <w:pPr>
        <w:spacing w:after="0" w:line="240" w:lineRule="auto"/>
      </w:pPr>
      <w:r>
        <w:separator/>
      </w:r>
    </w:p>
  </w:footnote>
  <w:footnote w:type="continuationSeparator" w:id="0">
    <w:p w:rsidR="00A0400D" w:rsidRDefault="00A0400D" w:rsidP="009E2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1C0D"/>
    <w:multiLevelType w:val="hybridMultilevel"/>
    <w:tmpl w:val="2E1C3B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508C5"/>
    <w:multiLevelType w:val="hybridMultilevel"/>
    <w:tmpl w:val="3EE8A08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60E31"/>
    <w:multiLevelType w:val="hybridMultilevel"/>
    <w:tmpl w:val="25AEE6F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02059"/>
    <w:multiLevelType w:val="hybridMultilevel"/>
    <w:tmpl w:val="3E1AF2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53B83"/>
    <w:multiLevelType w:val="hybridMultilevel"/>
    <w:tmpl w:val="7FFC8DC8"/>
    <w:lvl w:ilvl="0" w:tplc="B0623F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310FF"/>
    <w:multiLevelType w:val="hybridMultilevel"/>
    <w:tmpl w:val="EA009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07249"/>
    <w:multiLevelType w:val="hybridMultilevel"/>
    <w:tmpl w:val="2E40A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25DB8"/>
    <w:multiLevelType w:val="hybridMultilevel"/>
    <w:tmpl w:val="E2FC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8178B"/>
    <w:multiLevelType w:val="hybridMultilevel"/>
    <w:tmpl w:val="DEEEF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06838"/>
    <w:multiLevelType w:val="hybridMultilevel"/>
    <w:tmpl w:val="D436B42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5402B"/>
    <w:multiLevelType w:val="hybridMultilevel"/>
    <w:tmpl w:val="F22E59F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87EAD"/>
    <w:multiLevelType w:val="hybridMultilevel"/>
    <w:tmpl w:val="16A894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85B1A"/>
    <w:multiLevelType w:val="hybridMultilevel"/>
    <w:tmpl w:val="0E6ED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882FAF"/>
    <w:multiLevelType w:val="hybridMultilevel"/>
    <w:tmpl w:val="341A231C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8A0F5D"/>
    <w:multiLevelType w:val="hybridMultilevel"/>
    <w:tmpl w:val="0FE65B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D430A"/>
    <w:multiLevelType w:val="hybridMultilevel"/>
    <w:tmpl w:val="1E62F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64257"/>
    <w:multiLevelType w:val="hybridMultilevel"/>
    <w:tmpl w:val="76A2974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3A4F35"/>
    <w:multiLevelType w:val="hybridMultilevel"/>
    <w:tmpl w:val="EF7AC15E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"/>
  </w:num>
  <w:num w:numId="5">
    <w:abstractNumId w:val="13"/>
  </w:num>
  <w:num w:numId="6">
    <w:abstractNumId w:val="10"/>
  </w:num>
  <w:num w:numId="7">
    <w:abstractNumId w:val="14"/>
  </w:num>
  <w:num w:numId="8">
    <w:abstractNumId w:val="11"/>
  </w:num>
  <w:num w:numId="9">
    <w:abstractNumId w:val="5"/>
  </w:num>
  <w:num w:numId="10">
    <w:abstractNumId w:val="9"/>
  </w:num>
  <w:num w:numId="11">
    <w:abstractNumId w:val="6"/>
  </w:num>
  <w:num w:numId="12">
    <w:abstractNumId w:val="15"/>
  </w:num>
  <w:num w:numId="13">
    <w:abstractNumId w:val="8"/>
  </w:num>
  <w:num w:numId="14">
    <w:abstractNumId w:val="7"/>
  </w:num>
  <w:num w:numId="15">
    <w:abstractNumId w:val="4"/>
  </w:num>
  <w:num w:numId="16">
    <w:abstractNumId w:val="3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A08"/>
    <w:rsid w:val="0000257A"/>
    <w:rsid w:val="00046D41"/>
    <w:rsid w:val="00047679"/>
    <w:rsid w:val="000865F5"/>
    <w:rsid w:val="00250150"/>
    <w:rsid w:val="00254ECF"/>
    <w:rsid w:val="00353AEE"/>
    <w:rsid w:val="003D4D82"/>
    <w:rsid w:val="004542A2"/>
    <w:rsid w:val="00497879"/>
    <w:rsid w:val="004A74B9"/>
    <w:rsid w:val="004E06CE"/>
    <w:rsid w:val="00586552"/>
    <w:rsid w:val="005E368D"/>
    <w:rsid w:val="00605851"/>
    <w:rsid w:val="00677249"/>
    <w:rsid w:val="00712881"/>
    <w:rsid w:val="007C0698"/>
    <w:rsid w:val="007D2BA2"/>
    <w:rsid w:val="008525E2"/>
    <w:rsid w:val="00853FB5"/>
    <w:rsid w:val="008C2D06"/>
    <w:rsid w:val="009959B8"/>
    <w:rsid w:val="009E2F9F"/>
    <w:rsid w:val="009F03A8"/>
    <w:rsid w:val="00A004AD"/>
    <w:rsid w:val="00A0400D"/>
    <w:rsid w:val="00A14C65"/>
    <w:rsid w:val="00A311A5"/>
    <w:rsid w:val="00A550CB"/>
    <w:rsid w:val="00A75C1A"/>
    <w:rsid w:val="00AD7884"/>
    <w:rsid w:val="00B8649A"/>
    <w:rsid w:val="00C10589"/>
    <w:rsid w:val="00C33347"/>
    <w:rsid w:val="00C96AA9"/>
    <w:rsid w:val="00CF672D"/>
    <w:rsid w:val="00D0264B"/>
    <w:rsid w:val="00D522DB"/>
    <w:rsid w:val="00D73F71"/>
    <w:rsid w:val="00E965BE"/>
    <w:rsid w:val="00EC0C30"/>
    <w:rsid w:val="00FF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24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A0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6A08"/>
    <w:pPr>
      <w:ind w:left="720"/>
      <w:contextualSpacing/>
    </w:pPr>
    <w:rPr>
      <w:lang w:val="en-IN" w:eastAsia="en-IN"/>
    </w:rPr>
  </w:style>
  <w:style w:type="table" w:styleId="TableGrid">
    <w:name w:val="Table Grid"/>
    <w:basedOn w:val="TableNormal"/>
    <w:uiPriority w:val="59"/>
    <w:rsid w:val="00FF6A08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F6A08"/>
    <w:rPr>
      <w:rFonts w:eastAsiaTheme="minorEastAsia"/>
      <w:lang w:eastAsia="en-IN"/>
    </w:rPr>
  </w:style>
  <w:style w:type="paragraph" w:customStyle="1" w:styleId="m8501693941300586370gmail-msonormal">
    <w:name w:val="m_8501693941300586370gmail-msonormal"/>
    <w:basedOn w:val="Normal"/>
    <w:rsid w:val="0004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A311A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IN" w:eastAsia="en-IN" w:bidi="hi-IN"/>
    </w:rPr>
  </w:style>
  <w:style w:type="character" w:customStyle="1" w:styleId="BodyTextChar">
    <w:name w:val="Body Text Char"/>
    <w:basedOn w:val="DefaultParagraphFont"/>
    <w:link w:val="BodyText"/>
    <w:rsid w:val="00A311A5"/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paragraph" w:styleId="Header">
    <w:name w:val="header"/>
    <w:basedOn w:val="Normal"/>
    <w:link w:val="HeaderChar"/>
    <w:uiPriority w:val="99"/>
    <w:semiHidden/>
    <w:unhideWhenUsed/>
    <w:rsid w:val="009E2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F9F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9E2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2F9F"/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om</cp:lastModifiedBy>
  <cp:revision>25</cp:revision>
  <dcterms:created xsi:type="dcterms:W3CDTF">2018-02-12T10:19:00Z</dcterms:created>
  <dcterms:modified xsi:type="dcterms:W3CDTF">2018-03-13T10:41:00Z</dcterms:modified>
</cp:coreProperties>
</file>