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F6A" w:rsidRDefault="00612F6A" w:rsidP="00BD070A">
      <w:pPr>
        <w:tabs>
          <w:tab w:val="left" w:pos="567"/>
        </w:tabs>
        <w:spacing w:after="0"/>
        <w:jc w:val="both"/>
        <w:rPr>
          <w:rFonts w:eastAsia="Times New Roman" w:cstheme="minorHAnsi"/>
          <w:b/>
          <w:bCs/>
          <w:szCs w:val="20"/>
        </w:rPr>
      </w:pPr>
    </w:p>
    <w:p w:rsidR="001E4A0D" w:rsidRPr="00616F2C" w:rsidRDefault="00A870DB" w:rsidP="001E4A0D">
      <w:pPr>
        <w:jc w:val="center"/>
        <w:rPr>
          <w:rFonts w:cstheme="minorHAnsi"/>
          <w:b/>
          <w:sz w:val="28"/>
          <w:szCs w:val="28"/>
        </w:rPr>
      </w:pPr>
      <w:r>
        <w:rPr>
          <w:rFonts w:cstheme="minorHAnsi"/>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424.4pt;margin-top:-35.3pt;width:61.6pt;height:19.35pt;z-index:251660288" strokecolor="#622423 [1605]" strokeweight="1.5pt">
            <v:textbox style="mso-next-textbox:#_x0000_s1026">
              <w:txbxContent>
                <w:p w:rsidR="001E4A0D" w:rsidRPr="00A757E2" w:rsidRDefault="001E4A0D" w:rsidP="001E4A0D">
                  <w:pPr>
                    <w:rPr>
                      <w:b/>
                    </w:rPr>
                  </w:pPr>
                  <w:r w:rsidRPr="00A757E2">
                    <w:rPr>
                      <w:b/>
                    </w:rPr>
                    <w:t>A</w:t>
                  </w:r>
                  <w:r>
                    <w:rPr>
                      <w:b/>
                    </w:rPr>
                    <w:t>NN</w:t>
                  </w:r>
                  <w:r w:rsidRPr="00A757E2">
                    <w:rPr>
                      <w:b/>
                    </w:rPr>
                    <w:t xml:space="preserve">– </w:t>
                  </w:r>
                  <w:r>
                    <w:rPr>
                      <w:b/>
                    </w:rPr>
                    <w:t>4.4</w:t>
                  </w:r>
                </w:p>
              </w:txbxContent>
            </v:textbox>
          </v:shape>
        </w:pict>
      </w:r>
      <w:r w:rsidR="001E4A0D">
        <w:rPr>
          <w:rFonts w:cstheme="minorHAnsi"/>
          <w:b/>
          <w:sz w:val="28"/>
          <w:szCs w:val="28"/>
        </w:rPr>
        <w:t xml:space="preserve">Baseline study for Development in </w:t>
      </w:r>
      <w:proofErr w:type="spellStart"/>
      <w:r w:rsidR="001E4A0D">
        <w:rPr>
          <w:rFonts w:cstheme="minorHAnsi"/>
          <w:b/>
          <w:sz w:val="28"/>
          <w:szCs w:val="28"/>
        </w:rPr>
        <w:t>Telangana</w:t>
      </w:r>
      <w:proofErr w:type="spellEnd"/>
      <w:r w:rsidR="001E4A0D">
        <w:rPr>
          <w:rFonts w:cstheme="minorHAnsi"/>
          <w:b/>
          <w:sz w:val="28"/>
          <w:szCs w:val="28"/>
        </w:rPr>
        <w:t xml:space="preserve"> state</w:t>
      </w:r>
    </w:p>
    <w:p w:rsidR="00BD070A" w:rsidRPr="001E4A0D" w:rsidRDefault="00BD070A" w:rsidP="001E4A0D">
      <w:pPr>
        <w:tabs>
          <w:tab w:val="left" w:pos="567"/>
        </w:tabs>
        <w:spacing w:after="0"/>
        <w:jc w:val="center"/>
        <w:rPr>
          <w:rFonts w:eastAsia="Times New Roman" w:cstheme="minorHAnsi"/>
          <w:bCs/>
          <w:sz w:val="24"/>
          <w:szCs w:val="24"/>
        </w:rPr>
      </w:pPr>
      <w:r w:rsidRPr="001E4A0D">
        <w:rPr>
          <w:rFonts w:eastAsia="Times New Roman" w:cstheme="minorHAnsi"/>
          <w:bCs/>
          <w:sz w:val="24"/>
          <w:szCs w:val="24"/>
        </w:rPr>
        <w:t>Tank resources</w:t>
      </w:r>
    </w:p>
    <w:p w:rsidR="00BD070A" w:rsidRPr="001E4A0D" w:rsidRDefault="00BD070A" w:rsidP="001E4A0D">
      <w:pPr>
        <w:jc w:val="both"/>
        <w:rPr>
          <w:rFonts w:cstheme="minorHAnsi"/>
          <w:b/>
          <w:sz w:val="24"/>
          <w:szCs w:val="24"/>
        </w:rPr>
      </w:pPr>
      <w:r w:rsidRPr="001E4A0D">
        <w:rPr>
          <w:rFonts w:eastAsia="Times New Roman" w:cstheme="minorHAnsi"/>
          <w:bCs/>
          <w:sz w:val="20"/>
          <w:szCs w:val="20"/>
        </w:rPr>
        <w:t>The following tanks have been covered in the field study across nine districts</w:t>
      </w:r>
      <w:r w:rsidR="003528B7">
        <w:rPr>
          <w:rFonts w:eastAsia="Times New Roman" w:cstheme="minorHAnsi"/>
          <w:bCs/>
          <w:sz w:val="20"/>
          <w:szCs w:val="20"/>
        </w:rPr>
        <w:t>.</w:t>
      </w:r>
    </w:p>
    <w:p w:rsidR="00BD070A" w:rsidRPr="001E4A0D" w:rsidRDefault="00BD070A" w:rsidP="001E4A0D">
      <w:pPr>
        <w:spacing w:after="0"/>
        <w:jc w:val="both"/>
        <w:rPr>
          <w:rFonts w:eastAsia="Times New Roman" w:cstheme="minorHAnsi"/>
          <w:b/>
          <w:bCs/>
          <w:sz w:val="8"/>
          <w:szCs w:val="20"/>
          <w:highlight w:val="yellow"/>
        </w:rPr>
      </w:pPr>
    </w:p>
    <w:tbl>
      <w:tblPr>
        <w:tblW w:w="4897" w:type="pct"/>
        <w:tblInd w:w="108" w:type="dxa"/>
        <w:tblBorders>
          <w:top w:val="single" w:sz="12" w:space="0" w:color="808080" w:themeColor="background1" w:themeShade="80"/>
          <w:bottom w:val="single" w:sz="12" w:space="0" w:color="808080" w:themeColor="background1" w:themeShade="80"/>
          <w:insideH w:val="dotted" w:sz="4" w:space="0" w:color="A6A6A6" w:themeColor="background1" w:themeShade="A6"/>
          <w:insideV w:val="dotted" w:sz="4" w:space="0" w:color="A6A6A6" w:themeColor="background1" w:themeShade="A6"/>
        </w:tblBorders>
        <w:tblLook w:val="04A0"/>
      </w:tblPr>
      <w:tblGrid>
        <w:gridCol w:w="1540"/>
        <w:gridCol w:w="1777"/>
        <w:gridCol w:w="1628"/>
        <w:gridCol w:w="1065"/>
        <w:gridCol w:w="1074"/>
        <w:gridCol w:w="842"/>
        <w:gridCol w:w="1126"/>
      </w:tblGrid>
      <w:tr w:rsidR="00BD070A" w:rsidRPr="001E4A0D" w:rsidTr="00612F6A">
        <w:trPr>
          <w:trHeight w:val="300"/>
        </w:trPr>
        <w:tc>
          <w:tcPr>
            <w:tcW w:w="851" w:type="pct"/>
            <w:vMerge w:val="restart"/>
            <w:shd w:val="clear" w:color="000000" w:fill="D8D8D8"/>
            <w:noWrap/>
            <w:vAlign w:val="center"/>
            <w:hideMark/>
          </w:tcPr>
          <w:p w:rsidR="00BD070A" w:rsidRPr="001E4A0D" w:rsidRDefault="00BD070A" w:rsidP="00612F6A">
            <w:pPr>
              <w:spacing w:after="0"/>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District</w:t>
            </w:r>
          </w:p>
        </w:tc>
        <w:tc>
          <w:tcPr>
            <w:tcW w:w="982" w:type="pct"/>
            <w:vMerge w:val="restar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Geo Code</w:t>
            </w:r>
          </w:p>
        </w:tc>
        <w:tc>
          <w:tcPr>
            <w:tcW w:w="899" w:type="pct"/>
            <w:vMerge w:val="restar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proofErr w:type="spellStart"/>
            <w:r w:rsidRPr="001E4A0D">
              <w:rPr>
                <w:rFonts w:ascii="Calibri" w:eastAsia="Times New Roman" w:hAnsi="Calibri" w:cs="Calibri"/>
                <w:b/>
                <w:bCs/>
                <w:color w:val="000000"/>
                <w:sz w:val="18"/>
                <w:szCs w:val="18"/>
              </w:rPr>
              <w:t>Res.code</w:t>
            </w:r>
            <w:proofErr w:type="spellEnd"/>
          </w:p>
        </w:tc>
        <w:tc>
          <w:tcPr>
            <w:tcW w:w="1181" w:type="pct"/>
            <w:gridSpan w:val="2"/>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No. tanks</w:t>
            </w:r>
          </w:p>
        </w:tc>
        <w:tc>
          <w:tcPr>
            <w:tcW w:w="1088" w:type="pct"/>
            <w:gridSpan w:val="2"/>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Total</w:t>
            </w:r>
          </w:p>
        </w:tc>
      </w:tr>
      <w:tr w:rsidR="00BD070A" w:rsidRPr="001E4A0D" w:rsidTr="00612F6A">
        <w:trPr>
          <w:trHeight w:val="300"/>
        </w:trPr>
        <w:tc>
          <w:tcPr>
            <w:tcW w:w="851" w:type="pct"/>
            <w:vMerge/>
            <w:vAlign w:val="center"/>
            <w:hideMark/>
          </w:tcPr>
          <w:p w:rsidR="00BD070A" w:rsidRPr="001E4A0D" w:rsidRDefault="00BD070A" w:rsidP="00612F6A">
            <w:pPr>
              <w:spacing w:after="0"/>
              <w:rPr>
                <w:rFonts w:ascii="Calibri" w:eastAsia="Times New Roman" w:hAnsi="Calibri" w:cs="Calibri"/>
                <w:b/>
                <w:bCs/>
                <w:color w:val="000000"/>
                <w:sz w:val="18"/>
                <w:szCs w:val="18"/>
              </w:rPr>
            </w:pPr>
          </w:p>
        </w:tc>
        <w:tc>
          <w:tcPr>
            <w:tcW w:w="982" w:type="pct"/>
            <w:vMerge/>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p>
        </w:tc>
        <w:tc>
          <w:tcPr>
            <w:tcW w:w="899" w:type="pct"/>
            <w:vMerge/>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p>
        </w:tc>
        <w:tc>
          <w:tcPr>
            <w:tcW w:w="588"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DPT</w:t>
            </w:r>
          </w:p>
        </w:tc>
        <w:tc>
          <w:tcPr>
            <w:tcW w:w="593"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GPT</w:t>
            </w:r>
          </w:p>
        </w:tc>
        <w:tc>
          <w:tcPr>
            <w:tcW w:w="465"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No.</w:t>
            </w:r>
          </w:p>
        </w:tc>
        <w:tc>
          <w:tcPr>
            <w:tcW w:w="623"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w:t>
            </w:r>
          </w:p>
        </w:tc>
      </w:tr>
      <w:tr w:rsidR="00BD070A" w:rsidRPr="001E4A0D" w:rsidTr="00612F6A">
        <w:trPr>
          <w:trHeight w:val="30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Kamareddy</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A1 KMR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TKS(1-79)</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43</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36</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79</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11%</w:t>
            </w:r>
          </w:p>
        </w:tc>
      </w:tr>
      <w:tr w:rsidR="00BD070A" w:rsidRPr="001E4A0D" w:rsidTr="00612F6A">
        <w:trPr>
          <w:trHeight w:val="30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Karimnagar</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A2 KRN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TKS(80-156)</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44</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33</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77</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11%</w:t>
            </w:r>
          </w:p>
        </w:tc>
      </w:tr>
      <w:tr w:rsidR="00BD070A" w:rsidRPr="001E4A0D" w:rsidTr="00612F6A">
        <w:trPr>
          <w:trHeight w:val="30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Mancherial</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A3 MAN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TKS(157-229)</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40</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33</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73</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10%</w:t>
            </w:r>
          </w:p>
        </w:tc>
      </w:tr>
      <w:tr w:rsidR="00BD070A" w:rsidRPr="001E4A0D" w:rsidTr="00612F6A">
        <w:trPr>
          <w:trHeight w:val="117"/>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Medak</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B4 MDK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TKS(230-319)</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44</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46</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90</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13%</w:t>
            </w:r>
          </w:p>
        </w:tc>
      </w:tr>
      <w:tr w:rsidR="00BD070A" w:rsidRPr="001E4A0D" w:rsidTr="00612F6A">
        <w:trPr>
          <w:trHeight w:val="30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Rangareddy</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B5 RGR(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TKS(320-398)</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23</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56</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79</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11%</w:t>
            </w:r>
          </w:p>
        </w:tc>
      </w:tr>
      <w:tr w:rsidR="00BD070A" w:rsidRPr="001E4A0D" w:rsidTr="00612F6A">
        <w:trPr>
          <w:trHeight w:val="30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Wanaparthy</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B6 WPY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TKS(399-478)</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41</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39</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80</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11%</w:t>
            </w:r>
          </w:p>
        </w:tc>
      </w:tr>
      <w:tr w:rsidR="00BD070A" w:rsidRPr="001E4A0D" w:rsidTr="00612F6A">
        <w:trPr>
          <w:trHeight w:val="30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Bhadradri</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C7 BDR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TKS(479-550)</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18</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54</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72</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10%</w:t>
            </w:r>
          </w:p>
        </w:tc>
      </w:tr>
      <w:tr w:rsidR="00BD070A" w:rsidRPr="001E4A0D" w:rsidTr="00612F6A">
        <w:trPr>
          <w:trHeight w:val="337"/>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Mahabubabad</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C8 MBD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TKS(551-633)</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38</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45</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83</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12%</w:t>
            </w:r>
          </w:p>
        </w:tc>
      </w:tr>
      <w:tr w:rsidR="00BD070A" w:rsidRPr="001E4A0D" w:rsidTr="00612F6A">
        <w:trPr>
          <w:trHeight w:val="270"/>
        </w:trPr>
        <w:tc>
          <w:tcPr>
            <w:tcW w:w="851" w:type="pct"/>
            <w:shd w:val="clear" w:color="auto" w:fill="auto"/>
            <w:noWrap/>
            <w:vAlign w:val="center"/>
            <w:hideMark/>
          </w:tcPr>
          <w:p w:rsidR="00BD070A" w:rsidRPr="001E4A0D" w:rsidRDefault="00BD070A" w:rsidP="00612F6A">
            <w:pPr>
              <w:spacing w:after="0"/>
              <w:rPr>
                <w:rFonts w:ascii="Calibri" w:eastAsia="Times New Roman" w:hAnsi="Calibri" w:cs="Calibri"/>
                <w:color w:val="000000"/>
                <w:sz w:val="18"/>
                <w:szCs w:val="18"/>
              </w:rPr>
            </w:pPr>
            <w:proofErr w:type="spellStart"/>
            <w:r w:rsidRPr="001E4A0D">
              <w:rPr>
                <w:rFonts w:ascii="Calibri" w:eastAsia="Times New Roman" w:hAnsi="Calibri" w:cs="Calibri"/>
                <w:color w:val="000000"/>
                <w:sz w:val="18"/>
                <w:szCs w:val="18"/>
              </w:rPr>
              <w:t>Yadadri</w:t>
            </w:r>
            <w:proofErr w:type="spellEnd"/>
          </w:p>
        </w:tc>
        <w:tc>
          <w:tcPr>
            <w:tcW w:w="982"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C9 YDR (M1-M9)</w:t>
            </w:r>
          </w:p>
        </w:tc>
        <w:tc>
          <w:tcPr>
            <w:tcW w:w="899"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TKS(634-708)</w:t>
            </w:r>
          </w:p>
        </w:tc>
        <w:tc>
          <w:tcPr>
            <w:tcW w:w="588"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50</w:t>
            </w:r>
          </w:p>
        </w:tc>
        <w:tc>
          <w:tcPr>
            <w:tcW w:w="59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25</w:t>
            </w:r>
          </w:p>
        </w:tc>
        <w:tc>
          <w:tcPr>
            <w:tcW w:w="465"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75</w:t>
            </w:r>
          </w:p>
        </w:tc>
        <w:tc>
          <w:tcPr>
            <w:tcW w:w="623" w:type="pct"/>
            <w:shd w:val="clear" w:color="auto" w:fill="auto"/>
            <w:noWrap/>
            <w:vAlign w:val="center"/>
            <w:hideMark/>
          </w:tcPr>
          <w:p w:rsidR="00BD070A" w:rsidRPr="001E4A0D" w:rsidRDefault="00BD070A" w:rsidP="00612F6A">
            <w:pPr>
              <w:spacing w:after="0"/>
              <w:jc w:val="center"/>
              <w:rPr>
                <w:rFonts w:ascii="Calibri" w:eastAsia="Times New Roman" w:hAnsi="Calibri" w:cs="Calibri"/>
                <w:color w:val="000000"/>
                <w:sz w:val="18"/>
                <w:szCs w:val="18"/>
              </w:rPr>
            </w:pPr>
            <w:r w:rsidRPr="001E4A0D">
              <w:rPr>
                <w:rFonts w:ascii="Calibri" w:eastAsia="Times New Roman" w:hAnsi="Calibri" w:cs="Calibri"/>
                <w:color w:val="000000"/>
                <w:sz w:val="18"/>
                <w:szCs w:val="18"/>
              </w:rPr>
              <w:t>11%</w:t>
            </w:r>
          </w:p>
        </w:tc>
      </w:tr>
      <w:tr w:rsidR="00BD070A" w:rsidRPr="001E4A0D" w:rsidTr="00612F6A">
        <w:trPr>
          <w:trHeight w:val="300"/>
        </w:trPr>
        <w:tc>
          <w:tcPr>
            <w:tcW w:w="851" w:type="pct"/>
            <w:shd w:val="clear" w:color="000000" w:fill="D8D8D8"/>
            <w:noWrap/>
            <w:vAlign w:val="center"/>
            <w:hideMark/>
          </w:tcPr>
          <w:p w:rsidR="00BD070A" w:rsidRPr="001E4A0D" w:rsidRDefault="00BD070A" w:rsidP="00612F6A">
            <w:pPr>
              <w:spacing w:after="0"/>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Total</w:t>
            </w:r>
          </w:p>
        </w:tc>
        <w:tc>
          <w:tcPr>
            <w:tcW w:w="982"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p>
        </w:tc>
        <w:tc>
          <w:tcPr>
            <w:tcW w:w="899"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p>
        </w:tc>
        <w:tc>
          <w:tcPr>
            <w:tcW w:w="588"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341</w:t>
            </w:r>
          </w:p>
        </w:tc>
        <w:tc>
          <w:tcPr>
            <w:tcW w:w="593"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367</w:t>
            </w:r>
          </w:p>
        </w:tc>
        <w:tc>
          <w:tcPr>
            <w:tcW w:w="465"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708</w:t>
            </w:r>
          </w:p>
        </w:tc>
        <w:tc>
          <w:tcPr>
            <w:tcW w:w="623" w:type="pct"/>
            <w:shd w:val="clear" w:color="000000" w:fill="D8D8D8"/>
            <w:noWrap/>
            <w:vAlign w:val="center"/>
            <w:hideMark/>
          </w:tcPr>
          <w:p w:rsidR="00BD070A" w:rsidRPr="001E4A0D" w:rsidRDefault="00BD070A" w:rsidP="00612F6A">
            <w:pPr>
              <w:spacing w:after="0"/>
              <w:jc w:val="center"/>
              <w:rPr>
                <w:rFonts w:ascii="Calibri" w:eastAsia="Times New Roman" w:hAnsi="Calibri" w:cs="Calibri"/>
                <w:b/>
                <w:bCs/>
                <w:color w:val="000000"/>
                <w:sz w:val="18"/>
                <w:szCs w:val="18"/>
              </w:rPr>
            </w:pPr>
            <w:r w:rsidRPr="001E4A0D">
              <w:rPr>
                <w:rFonts w:ascii="Calibri" w:eastAsia="Times New Roman" w:hAnsi="Calibri" w:cs="Calibri"/>
                <w:b/>
                <w:bCs/>
                <w:color w:val="000000"/>
                <w:sz w:val="18"/>
                <w:szCs w:val="18"/>
              </w:rPr>
              <w:t>100%</w:t>
            </w:r>
          </w:p>
        </w:tc>
      </w:tr>
    </w:tbl>
    <w:p w:rsidR="00BD070A" w:rsidRPr="001E4A0D" w:rsidRDefault="00BD070A" w:rsidP="00BD070A">
      <w:pPr>
        <w:spacing w:after="0"/>
        <w:ind w:left="-142"/>
        <w:jc w:val="both"/>
        <w:rPr>
          <w:sz w:val="52"/>
          <w:szCs w:val="20"/>
          <w:highlight w:val="yellow"/>
        </w:rPr>
      </w:pPr>
    </w:p>
    <w:p w:rsidR="001E4A0D" w:rsidRDefault="00EE3A08" w:rsidP="001E4A0D">
      <w:pPr>
        <w:jc w:val="both"/>
        <w:rPr>
          <w:b/>
          <w:i/>
        </w:rPr>
      </w:pPr>
      <w:r w:rsidRPr="001E4A0D">
        <w:rPr>
          <w:b/>
          <w:i/>
        </w:rPr>
        <w:t>Highlights on Tank Resources</w:t>
      </w:r>
    </w:p>
    <w:p w:rsidR="00EE3A08" w:rsidRPr="001E4A0D" w:rsidRDefault="00EE3A08" w:rsidP="001E4A0D">
      <w:pPr>
        <w:jc w:val="both"/>
        <w:rPr>
          <w:sz w:val="20"/>
        </w:rPr>
      </w:pPr>
      <w:r w:rsidRPr="001E4A0D">
        <w:rPr>
          <w:sz w:val="18"/>
          <w:szCs w:val="20"/>
        </w:rPr>
        <w:t xml:space="preserve">In 65% of the tanks </w:t>
      </w:r>
      <w:r w:rsidRPr="001E4A0D">
        <w:rPr>
          <w:b/>
          <w:sz w:val="18"/>
          <w:szCs w:val="20"/>
        </w:rPr>
        <w:t>water availability</w:t>
      </w:r>
      <w:r w:rsidRPr="001E4A0D">
        <w:rPr>
          <w:sz w:val="18"/>
          <w:szCs w:val="20"/>
        </w:rPr>
        <w:t xml:space="preserve"> is for &lt;6 months and in about 30% of the cases it is 6 to 9 months.  Availability of water for &gt;9 months is limited to the extent of perennial tanks.</w:t>
      </w:r>
      <w:r w:rsidRPr="001E4A0D">
        <w:rPr>
          <w:rFonts w:cstheme="minorHAnsi"/>
          <w:sz w:val="20"/>
          <w:szCs w:val="20"/>
        </w:rPr>
        <w:t xml:space="preserve"> </w:t>
      </w:r>
    </w:p>
    <w:p w:rsidR="00EE3A08" w:rsidRPr="001E4A0D" w:rsidRDefault="00EE3A08" w:rsidP="00EE3A08">
      <w:pPr>
        <w:pStyle w:val="ListParagraph"/>
        <w:numPr>
          <w:ilvl w:val="0"/>
          <w:numId w:val="5"/>
        </w:numPr>
        <w:spacing w:line="240" w:lineRule="auto"/>
        <w:rPr>
          <w:sz w:val="18"/>
          <w:szCs w:val="18"/>
        </w:rPr>
      </w:pPr>
      <w:r w:rsidRPr="001E4A0D">
        <w:rPr>
          <w:rFonts w:cstheme="minorHAnsi"/>
          <w:sz w:val="18"/>
          <w:szCs w:val="18"/>
        </w:rPr>
        <w:t xml:space="preserve">The respondent’s feedback shows that nearly in 60% of the cases the stocking size is less than 50 mm. Further in nearly 50% of the cases the reported stocking is twice or even more. </w:t>
      </w:r>
    </w:p>
    <w:p w:rsidR="00EE3A08" w:rsidRPr="001E4A0D" w:rsidRDefault="00EE3A08" w:rsidP="00EE3A08">
      <w:pPr>
        <w:pStyle w:val="ListParagraph"/>
        <w:numPr>
          <w:ilvl w:val="0"/>
          <w:numId w:val="5"/>
        </w:numPr>
        <w:spacing w:line="240" w:lineRule="auto"/>
        <w:rPr>
          <w:sz w:val="18"/>
          <w:szCs w:val="18"/>
        </w:rPr>
      </w:pPr>
      <w:r w:rsidRPr="001E4A0D">
        <w:rPr>
          <w:rFonts w:cstheme="minorHAnsi"/>
          <w:sz w:val="18"/>
          <w:szCs w:val="18"/>
        </w:rPr>
        <w:t>Profit sharing among members seems to be a popular practice with sporadic incidences of produce sharing in some cases (2 %).</w:t>
      </w:r>
    </w:p>
    <w:p w:rsidR="00EE3A08" w:rsidRPr="001E4A0D" w:rsidRDefault="00EE3A08" w:rsidP="00EE3A08">
      <w:pPr>
        <w:pStyle w:val="ListParagraph"/>
        <w:numPr>
          <w:ilvl w:val="0"/>
          <w:numId w:val="5"/>
        </w:numPr>
        <w:spacing w:line="240" w:lineRule="auto"/>
        <w:rPr>
          <w:sz w:val="18"/>
          <w:szCs w:val="18"/>
        </w:rPr>
      </w:pPr>
      <w:r w:rsidRPr="001E4A0D">
        <w:rPr>
          <w:rFonts w:cstheme="minorHAnsi"/>
          <w:sz w:val="18"/>
          <w:szCs w:val="18"/>
        </w:rPr>
        <w:t>Much of the labour requirement is on watch and ward with the requirement on other maintenance being limited.  Of the total labour requirement the share of family labour is substantial (&gt;75%) as compared to hired labour.</w:t>
      </w:r>
      <w:r w:rsidRPr="001E4A0D">
        <w:rPr>
          <w:rFonts w:eastAsia="Times New Roman" w:cs="Times New Roman"/>
          <w:color w:val="000000"/>
          <w:sz w:val="20"/>
          <w:szCs w:val="20"/>
        </w:rPr>
        <w:t xml:space="preserve"> </w:t>
      </w:r>
    </w:p>
    <w:p w:rsidR="00EE3A08" w:rsidRPr="001E4A0D" w:rsidRDefault="00EE3A08" w:rsidP="00EE3A08">
      <w:pPr>
        <w:pStyle w:val="ListParagraph"/>
        <w:numPr>
          <w:ilvl w:val="0"/>
          <w:numId w:val="5"/>
        </w:numPr>
        <w:spacing w:line="240" w:lineRule="auto"/>
        <w:rPr>
          <w:sz w:val="16"/>
          <w:szCs w:val="18"/>
        </w:rPr>
      </w:pPr>
      <w:r w:rsidRPr="001E4A0D">
        <w:rPr>
          <w:rFonts w:eastAsia="Times New Roman" w:cs="Times New Roman"/>
          <w:color w:val="000000"/>
          <w:sz w:val="18"/>
          <w:szCs w:val="20"/>
        </w:rPr>
        <w:t>Regarding the disposal, the feedback shows that nearly 70% happens as ‘on site sale’ at the landing centres / points followed by local/rural market in the near vicinity (5%).</w:t>
      </w:r>
    </w:p>
    <w:p w:rsidR="00EE3A08" w:rsidRPr="001E4A0D" w:rsidRDefault="00EE3A08" w:rsidP="00EE3A08">
      <w:pPr>
        <w:pStyle w:val="ListParagraph"/>
        <w:numPr>
          <w:ilvl w:val="0"/>
          <w:numId w:val="5"/>
        </w:numPr>
        <w:spacing w:line="240" w:lineRule="auto"/>
        <w:rPr>
          <w:sz w:val="14"/>
          <w:szCs w:val="18"/>
        </w:rPr>
      </w:pPr>
      <w:r w:rsidRPr="001E4A0D">
        <w:rPr>
          <w:rFonts w:eastAsia="Times New Roman" w:cs="Times New Roman"/>
          <w:color w:val="000000"/>
          <w:sz w:val="18"/>
          <w:szCs w:val="20"/>
        </w:rPr>
        <w:t xml:space="preserve">On the aspect related to check on the seed quality nearly 50% of the respondents state that they are not trained and thus are unable to participate in the process.  Those who have been trained state that the check for quality is in terms of size and </w:t>
      </w:r>
      <w:r w:rsidRPr="001E4A0D">
        <w:rPr>
          <w:rFonts w:eastAsia="Times New Roman" w:cs="Times New Roman"/>
          <w:sz w:val="18"/>
          <w:szCs w:val="20"/>
        </w:rPr>
        <w:t>activity or mobility.</w:t>
      </w:r>
    </w:p>
    <w:p w:rsidR="00EE3A08" w:rsidRPr="001E4A0D" w:rsidRDefault="00EE3A08" w:rsidP="00EE3A08">
      <w:pPr>
        <w:pStyle w:val="ListParagraph"/>
        <w:numPr>
          <w:ilvl w:val="0"/>
          <w:numId w:val="5"/>
        </w:numPr>
        <w:spacing w:line="240" w:lineRule="auto"/>
        <w:rPr>
          <w:sz w:val="14"/>
          <w:szCs w:val="18"/>
        </w:rPr>
      </w:pPr>
      <w:r w:rsidRPr="001E4A0D">
        <w:rPr>
          <w:rFonts w:eastAsia="Times New Roman" w:cs="Times New Roman"/>
          <w:color w:val="000000"/>
          <w:sz w:val="20"/>
          <w:szCs w:val="20"/>
        </w:rPr>
        <w:t xml:space="preserve"> </w:t>
      </w:r>
      <w:r w:rsidRPr="001E4A0D">
        <w:rPr>
          <w:rFonts w:eastAsia="Times New Roman" w:cs="Times New Roman"/>
          <w:color w:val="000000"/>
          <w:sz w:val="18"/>
          <w:szCs w:val="20"/>
        </w:rPr>
        <w:t>A large majority state that they have not undergone any training so far which could have really helped them to do better.</w:t>
      </w:r>
      <w:r w:rsidRPr="001E4A0D">
        <w:rPr>
          <w:rFonts w:eastAsia="Times New Roman" w:cs="Times New Roman"/>
          <w:color w:val="000000"/>
          <w:sz w:val="20"/>
          <w:szCs w:val="20"/>
        </w:rPr>
        <w:t xml:space="preserve"> </w:t>
      </w:r>
    </w:p>
    <w:p w:rsidR="00EE3A08" w:rsidRPr="001E4A0D" w:rsidRDefault="00EE3A08" w:rsidP="00EE3A08">
      <w:pPr>
        <w:pStyle w:val="ListParagraph"/>
        <w:numPr>
          <w:ilvl w:val="0"/>
          <w:numId w:val="5"/>
        </w:numPr>
        <w:spacing w:line="240" w:lineRule="auto"/>
        <w:rPr>
          <w:sz w:val="12"/>
          <w:szCs w:val="18"/>
        </w:rPr>
      </w:pPr>
      <w:r w:rsidRPr="001E4A0D">
        <w:rPr>
          <w:rFonts w:eastAsia="Times New Roman" w:cs="Times New Roman"/>
          <w:color w:val="000000"/>
          <w:sz w:val="18"/>
          <w:szCs w:val="20"/>
        </w:rPr>
        <w:t>With the regular stocking program going on in recent years it is of interest to know from the fishermen if it has lead to progressive increase in fish catch</w:t>
      </w:r>
      <w:r w:rsidRPr="001E4A0D">
        <w:rPr>
          <w:rFonts w:eastAsia="Times New Roman" w:cs="Times New Roman"/>
          <w:color w:val="000000"/>
          <w:sz w:val="18"/>
          <w:szCs w:val="18"/>
        </w:rPr>
        <w:t>.</w:t>
      </w:r>
    </w:p>
    <w:p w:rsidR="00EE3A08" w:rsidRPr="001E4A0D" w:rsidRDefault="00EE3A08" w:rsidP="00EE3A08">
      <w:pPr>
        <w:pStyle w:val="ListParagraph"/>
        <w:numPr>
          <w:ilvl w:val="0"/>
          <w:numId w:val="5"/>
        </w:numPr>
        <w:spacing w:line="240" w:lineRule="auto"/>
        <w:rPr>
          <w:sz w:val="12"/>
          <w:szCs w:val="18"/>
        </w:rPr>
      </w:pPr>
      <w:r w:rsidRPr="001E4A0D">
        <w:rPr>
          <w:rFonts w:eastAsia="Times New Roman" w:cs="Times New Roman"/>
          <w:color w:val="000000"/>
          <w:sz w:val="18"/>
          <w:szCs w:val="18"/>
        </w:rPr>
        <w:t xml:space="preserve"> On increased fish availability and per capita fish consumption nearly 60% of them put the figure at 20 to 40% increase</w:t>
      </w:r>
      <w:r w:rsidRPr="001E4A0D">
        <w:rPr>
          <w:rFonts w:eastAsia="Times New Roman" w:cs="Times New Roman"/>
          <w:color w:val="000000"/>
          <w:sz w:val="20"/>
          <w:szCs w:val="20"/>
        </w:rPr>
        <w:t xml:space="preserve">.  </w:t>
      </w:r>
    </w:p>
    <w:p w:rsidR="00EE3A08" w:rsidRPr="001E4A0D" w:rsidRDefault="00EE3A08" w:rsidP="00EE3A08">
      <w:pPr>
        <w:pStyle w:val="ListParagraph"/>
        <w:numPr>
          <w:ilvl w:val="0"/>
          <w:numId w:val="5"/>
        </w:numPr>
        <w:spacing w:line="240" w:lineRule="auto"/>
        <w:rPr>
          <w:sz w:val="10"/>
          <w:szCs w:val="18"/>
        </w:rPr>
      </w:pPr>
      <w:r w:rsidRPr="001E4A0D">
        <w:rPr>
          <w:rFonts w:eastAsia="Times New Roman" w:cs="Times New Roman"/>
          <w:sz w:val="18"/>
          <w:szCs w:val="20"/>
        </w:rPr>
        <w:t>As per the feedback availability of quality fish seed for the timely stocking, equity in allotment of water bodies and resource access, are of much greater concern to the tank fishermen as evident from their ranking with the other issues coming much later in their prioritization.</w:t>
      </w:r>
    </w:p>
    <w:p w:rsidR="00EE3A08" w:rsidRPr="001E4A0D" w:rsidRDefault="00EE3A08" w:rsidP="00EE3A08">
      <w:pPr>
        <w:pStyle w:val="ListParagraph"/>
        <w:numPr>
          <w:ilvl w:val="0"/>
          <w:numId w:val="5"/>
        </w:numPr>
        <w:spacing w:line="240" w:lineRule="auto"/>
        <w:jc w:val="both"/>
        <w:rPr>
          <w:sz w:val="10"/>
          <w:szCs w:val="18"/>
        </w:rPr>
      </w:pPr>
      <w:r w:rsidRPr="001E4A0D">
        <w:rPr>
          <w:sz w:val="18"/>
          <w:szCs w:val="18"/>
        </w:rPr>
        <w:t xml:space="preserve">Suggestions that have emerged in the field </w:t>
      </w:r>
    </w:p>
    <w:p w:rsidR="00EE3A08" w:rsidRPr="001E4A0D" w:rsidRDefault="00EE3A08" w:rsidP="00EE3A08">
      <w:pPr>
        <w:pStyle w:val="ListParagraph"/>
        <w:numPr>
          <w:ilvl w:val="0"/>
          <w:numId w:val="6"/>
        </w:numPr>
        <w:spacing w:line="240" w:lineRule="auto"/>
        <w:jc w:val="both"/>
        <w:rPr>
          <w:sz w:val="10"/>
          <w:szCs w:val="18"/>
        </w:rPr>
      </w:pPr>
      <w:r w:rsidRPr="001E4A0D">
        <w:rPr>
          <w:rFonts w:cstheme="minorHAnsi"/>
          <w:sz w:val="18"/>
          <w:szCs w:val="18"/>
        </w:rPr>
        <w:t>Promote limited use of manure and feed – wherever there is no objection by the public.</w:t>
      </w:r>
    </w:p>
    <w:p w:rsidR="00EE3A08" w:rsidRPr="001E4A0D" w:rsidRDefault="00EE3A08" w:rsidP="00EE3A08">
      <w:pPr>
        <w:pStyle w:val="ListParagraph"/>
        <w:numPr>
          <w:ilvl w:val="0"/>
          <w:numId w:val="6"/>
        </w:numPr>
        <w:spacing w:line="240" w:lineRule="auto"/>
        <w:jc w:val="both"/>
        <w:rPr>
          <w:sz w:val="10"/>
          <w:szCs w:val="18"/>
        </w:rPr>
      </w:pPr>
      <w:r w:rsidRPr="001E4A0D">
        <w:rPr>
          <w:rFonts w:cstheme="minorHAnsi"/>
          <w:sz w:val="18"/>
          <w:szCs w:val="18"/>
        </w:rPr>
        <w:t>Ensure proper stocking size (80-100 mm) and also use stunted fingerlings and yearlings</w:t>
      </w:r>
    </w:p>
    <w:p w:rsidR="00EE3A08" w:rsidRPr="001E4A0D" w:rsidRDefault="00EE3A08" w:rsidP="00EE3A08">
      <w:pPr>
        <w:pStyle w:val="ListParagraph"/>
        <w:numPr>
          <w:ilvl w:val="0"/>
          <w:numId w:val="6"/>
        </w:numPr>
        <w:spacing w:line="240" w:lineRule="auto"/>
        <w:jc w:val="both"/>
        <w:rPr>
          <w:sz w:val="10"/>
          <w:szCs w:val="18"/>
        </w:rPr>
      </w:pPr>
      <w:r w:rsidRPr="001E4A0D">
        <w:rPr>
          <w:rFonts w:cstheme="minorHAnsi"/>
          <w:sz w:val="18"/>
          <w:szCs w:val="18"/>
        </w:rPr>
        <w:t>Maintain minimum water level (3-5 feet)</w:t>
      </w:r>
      <w:r w:rsidRPr="001E4A0D">
        <w:rPr>
          <w:rFonts w:cstheme="minorHAnsi"/>
          <w:i/>
          <w:sz w:val="18"/>
          <w:szCs w:val="18"/>
        </w:rPr>
        <w:t xml:space="preserve"> </w:t>
      </w:r>
    </w:p>
    <w:p w:rsidR="00EE3A08" w:rsidRPr="001E4A0D" w:rsidRDefault="00EE3A08" w:rsidP="00EE3A08">
      <w:pPr>
        <w:pStyle w:val="ListParagraph"/>
        <w:numPr>
          <w:ilvl w:val="0"/>
          <w:numId w:val="6"/>
        </w:numPr>
        <w:spacing w:line="240" w:lineRule="auto"/>
        <w:jc w:val="both"/>
        <w:rPr>
          <w:sz w:val="10"/>
          <w:szCs w:val="18"/>
        </w:rPr>
      </w:pPr>
      <w:r w:rsidRPr="001E4A0D">
        <w:rPr>
          <w:rFonts w:cstheme="minorHAnsi"/>
          <w:sz w:val="18"/>
          <w:szCs w:val="18"/>
        </w:rPr>
        <w:t>Long term leasing is good - minimum 10 years at least.</w:t>
      </w:r>
    </w:p>
    <w:p w:rsidR="00EE3A08" w:rsidRPr="001E4A0D" w:rsidRDefault="00EE3A08" w:rsidP="00EE3A08">
      <w:pPr>
        <w:pStyle w:val="ListParagraph"/>
        <w:numPr>
          <w:ilvl w:val="0"/>
          <w:numId w:val="6"/>
        </w:numPr>
        <w:spacing w:line="240" w:lineRule="auto"/>
        <w:jc w:val="both"/>
        <w:rPr>
          <w:sz w:val="10"/>
          <w:szCs w:val="18"/>
        </w:rPr>
      </w:pPr>
      <w:r w:rsidRPr="001E4A0D">
        <w:rPr>
          <w:rFonts w:cstheme="minorHAnsi"/>
          <w:i/>
          <w:sz w:val="18"/>
          <w:szCs w:val="18"/>
        </w:rPr>
        <w:t xml:space="preserve"> </w:t>
      </w:r>
      <w:r w:rsidRPr="001E4A0D">
        <w:rPr>
          <w:rFonts w:cstheme="minorHAnsi"/>
          <w:sz w:val="18"/>
          <w:szCs w:val="18"/>
        </w:rPr>
        <w:t>DOF and GP along with FCS should deliberate on this to ensure active participation of members in all developmental processes.</w:t>
      </w:r>
    </w:p>
    <w:sectPr w:rsidR="00EE3A08" w:rsidRPr="001E4A0D" w:rsidSect="009D57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64C"/>
    <w:multiLevelType w:val="hybridMultilevel"/>
    <w:tmpl w:val="CBD2D17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04F431DA"/>
    <w:multiLevelType w:val="hybridMultilevel"/>
    <w:tmpl w:val="84CCFC9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AE2228E"/>
    <w:multiLevelType w:val="hybridMultilevel"/>
    <w:tmpl w:val="9A4CF3F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AE52AFC"/>
    <w:multiLevelType w:val="hybridMultilevel"/>
    <w:tmpl w:val="B3929EB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CA677CD"/>
    <w:multiLevelType w:val="hybridMultilevel"/>
    <w:tmpl w:val="7F4ADC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8F34E8"/>
    <w:multiLevelType w:val="hybridMultilevel"/>
    <w:tmpl w:val="E2BE4C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1706E34"/>
    <w:multiLevelType w:val="hybridMultilevel"/>
    <w:tmpl w:val="6AE67A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8EB6BFD"/>
    <w:multiLevelType w:val="hybridMultilevel"/>
    <w:tmpl w:val="3CC82592"/>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C184928"/>
    <w:multiLevelType w:val="hybridMultilevel"/>
    <w:tmpl w:val="63540AD2"/>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E649A4"/>
    <w:multiLevelType w:val="hybridMultilevel"/>
    <w:tmpl w:val="C8526A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A21B07"/>
    <w:multiLevelType w:val="multilevel"/>
    <w:tmpl w:val="9FDADA2E"/>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b/>
      </w:rPr>
    </w:lvl>
    <w:lvl w:ilvl="2">
      <w:start w:val="3"/>
      <w:numFmt w:val="decimal"/>
      <w:isLgl/>
      <w:lvlText w:val="%1.%2.%3"/>
      <w:lvlJc w:val="left"/>
      <w:pPr>
        <w:ind w:left="1080" w:hanging="720"/>
      </w:pPr>
      <w:rPr>
        <w:rFonts w:hint="default"/>
      </w:rPr>
    </w:lvl>
    <w:lvl w:ilvl="3">
      <w:start w:val="3"/>
      <w:numFmt w:val="decimal"/>
      <w:isLgl/>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02D317F"/>
    <w:multiLevelType w:val="hybridMultilevel"/>
    <w:tmpl w:val="49CEEC7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3835BBD"/>
    <w:multiLevelType w:val="hybridMultilevel"/>
    <w:tmpl w:val="6FDCDDC2"/>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EBB3C41"/>
    <w:multiLevelType w:val="hybridMultilevel"/>
    <w:tmpl w:val="A79CA344"/>
    <w:lvl w:ilvl="0" w:tplc="E73469B6">
      <w:start w:val="1"/>
      <w:numFmt w:val="bullet"/>
      <w:lvlText w:val=""/>
      <w:lvlJc w:val="left"/>
      <w:pPr>
        <w:ind w:left="720" w:hanging="360"/>
      </w:pPr>
      <w:rPr>
        <w:rFonts w:ascii="Wingdings" w:hAnsi="Wingdings" w:hint="default"/>
        <w:color w:val="auto"/>
        <w:sz w:val="18"/>
        <w:szCs w:val="20"/>
        <w:u w:color="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981297B"/>
    <w:multiLevelType w:val="hybridMultilevel"/>
    <w:tmpl w:val="E0AA8728"/>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A5C7FCE"/>
    <w:multiLevelType w:val="hybridMultilevel"/>
    <w:tmpl w:val="B2563D50"/>
    <w:lvl w:ilvl="0" w:tplc="47004CF4">
      <w:start w:val="1"/>
      <w:numFmt w:val="bullet"/>
      <w:lvlText w:val=""/>
      <w:lvlJc w:val="left"/>
      <w:pPr>
        <w:ind w:left="720" w:hanging="360"/>
      </w:pPr>
      <w:rPr>
        <w:rFonts w:ascii="Wingdings 3" w:hAnsi="Wingdings 3"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C47746D"/>
    <w:multiLevelType w:val="hybridMultilevel"/>
    <w:tmpl w:val="95C29F8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
  </w:num>
  <w:num w:numId="4">
    <w:abstractNumId w:val="13"/>
  </w:num>
  <w:num w:numId="5">
    <w:abstractNumId w:val="7"/>
  </w:num>
  <w:num w:numId="6">
    <w:abstractNumId w:val="9"/>
  </w:num>
  <w:num w:numId="7">
    <w:abstractNumId w:val="14"/>
  </w:num>
  <w:num w:numId="8">
    <w:abstractNumId w:val="10"/>
  </w:num>
  <w:num w:numId="9">
    <w:abstractNumId w:val="3"/>
  </w:num>
  <w:num w:numId="10">
    <w:abstractNumId w:val="8"/>
  </w:num>
  <w:num w:numId="11">
    <w:abstractNumId w:val="5"/>
  </w:num>
  <w:num w:numId="12">
    <w:abstractNumId w:val="1"/>
  </w:num>
  <w:num w:numId="13">
    <w:abstractNumId w:val="11"/>
  </w:num>
  <w:num w:numId="14">
    <w:abstractNumId w:val="6"/>
  </w:num>
  <w:num w:numId="15">
    <w:abstractNumId w:val="0"/>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19D8"/>
    <w:rsid w:val="001E4A0D"/>
    <w:rsid w:val="00237FB1"/>
    <w:rsid w:val="002A19DC"/>
    <w:rsid w:val="003528B7"/>
    <w:rsid w:val="00612F6A"/>
    <w:rsid w:val="006554C7"/>
    <w:rsid w:val="0079027D"/>
    <w:rsid w:val="0086544E"/>
    <w:rsid w:val="009176AA"/>
    <w:rsid w:val="009D576B"/>
    <w:rsid w:val="00A011A5"/>
    <w:rsid w:val="00A870DB"/>
    <w:rsid w:val="00B819D8"/>
    <w:rsid w:val="00BD070A"/>
    <w:rsid w:val="00BF1014"/>
    <w:rsid w:val="00C90C44"/>
    <w:rsid w:val="00CA7664"/>
    <w:rsid w:val="00EE3A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D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554C7"/>
    <w:pPr>
      <w:ind w:left="720"/>
      <w:contextualSpacing/>
    </w:pPr>
    <w:rPr>
      <w:lang w:val="en-IN" w:eastAsia="en-IN"/>
    </w:rPr>
  </w:style>
  <w:style w:type="character" w:customStyle="1" w:styleId="ListParagraphChar">
    <w:name w:val="List Paragraph Char"/>
    <w:basedOn w:val="DefaultParagraphFont"/>
    <w:link w:val="ListParagraph"/>
    <w:uiPriority w:val="34"/>
    <w:locked/>
    <w:rsid w:val="006554C7"/>
    <w:rPr>
      <w:rFonts w:eastAsiaTheme="minorEastAsia"/>
      <w:lang w:eastAsia="en-IN"/>
    </w:rPr>
  </w:style>
  <w:style w:type="table" w:styleId="TableGrid">
    <w:name w:val="Table Grid"/>
    <w:basedOn w:val="TableNormal"/>
    <w:uiPriority w:val="59"/>
    <w:rsid w:val="00BD070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cp:lastModifiedBy>
  <cp:revision>5</cp:revision>
  <dcterms:created xsi:type="dcterms:W3CDTF">2018-03-05T08:34:00Z</dcterms:created>
  <dcterms:modified xsi:type="dcterms:W3CDTF">2018-03-13T15:48:00Z</dcterms:modified>
</cp:coreProperties>
</file>