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F74" w:rsidRDefault="00DE3F74" w:rsidP="00512F02">
      <w:pPr>
        <w:jc w:val="both"/>
        <w:rPr>
          <w:b/>
          <w:sz w:val="20"/>
        </w:rPr>
      </w:pPr>
    </w:p>
    <w:p w:rsidR="00DE3F74" w:rsidRPr="00CD4DA3" w:rsidRDefault="005513B7" w:rsidP="00DE3F74">
      <w:pPr>
        <w:jc w:val="center"/>
        <w:rPr>
          <w:b/>
          <w:sz w:val="28"/>
          <w:szCs w:val="28"/>
        </w:rPr>
      </w:pPr>
      <w:r w:rsidRPr="005513B7">
        <w:rPr>
          <w:rFonts w:cs="Calibr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6.25pt;margin-top:-37.5pt;width:63pt;height:20.25pt;z-index:251662336" strokecolor="#943634 [2405]" strokeweight="1.5pt">
            <v:textbox style="mso-next-textbox:#_x0000_s1026">
              <w:txbxContent>
                <w:p w:rsidR="00DE3F74" w:rsidRPr="00A74A4D" w:rsidRDefault="00DE3F74" w:rsidP="00DE3F74">
                  <w:pPr>
                    <w:jc w:val="center"/>
                    <w:rPr>
                      <w:b/>
                    </w:rPr>
                  </w:pPr>
                  <w:r w:rsidRPr="00A74A4D">
                    <w:rPr>
                      <w:b/>
                    </w:rPr>
                    <w:t xml:space="preserve">ANN </w:t>
                  </w:r>
                  <w:r>
                    <w:rPr>
                      <w:b/>
                    </w:rPr>
                    <w:t>–</w:t>
                  </w:r>
                  <w:r w:rsidRPr="00A74A4D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3.2</w:t>
                  </w:r>
                </w:p>
              </w:txbxContent>
            </v:textbox>
          </v:shape>
        </w:pict>
      </w:r>
      <w:r w:rsidR="00DE3F74" w:rsidRPr="00CD4DA3">
        <w:rPr>
          <w:b/>
          <w:sz w:val="28"/>
          <w:szCs w:val="28"/>
        </w:rPr>
        <w:t xml:space="preserve">Baseline study for Fisheries Development in </w:t>
      </w:r>
      <w:proofErr w:type="spellStart"/>
      <w:r w:rsidR="00DE3F74" w:rsidRPr="00CD4DA3">
        <w:rPr>
          <w:b/>
          <w:sz w:val="28"/>
          <w:szCs w:val="28"/>
        </w:rPr>
        <w:t>Telangana</w:t>
      </w:r>
      <w:proofErr w:type="spellEnd"/>
      <w:r w:rsidR="00DE3F74" w:rsidRPr="00CD4DA3">
        <w:rPr>
          <w:b/>
          <w:sz w:val="28"/>
          <w:szCs w:val="28"/>
        </w:rPr>
        <w:t xml:space="preserve"> state</w:t>
      </w:r>
    </w:p>
    <w:p w:rsidR="00EC37FC" w:rsidRPr="008D13A1" w:rsidRDefault="00EC37FC" w:rsidP="00EC37FC">
      <w:pPr>
        <w:jc w:val="center"/>
        <w:rPr>
          <w:bCs/>
          <w:sz w:val="24"/>
        </w:rPr>
      </w:pPr>
      <w:r w:rsidRPr="008D13A1">
        <w:rPr>
          <w:bCs/>
          <w:sz w:val="24"/>
        </w:rPr>
        <w:t>Reservoir resources in study districts and summary points on rivers and reservoir resources</w:t>
      </w:r>
    </w:p>
    <w:p w:rsidR="00EC37FC" w:rsidRPr="00EC37FC" w:rsidRDefault="00EC37FC" w:rsidP="00EC37FC">
      <w:pPr>
        <w:pStyle w:val="ListParagraph"/>
        <w:numPr>
          <w:ilvl w:val="0"/>
          <w:numId w:val="5"/>
        </w:numPr>
        <w:ind w:hanging="720"/>
        <w:jc w:val="both"/>
        <w:rPr>
          <w:b/>
          <w:sz w:val="18"/>
        </w:rPr>
      </w:pPr>
      <w:r w:rsidRPr="00EC37FC">
        <w:rPr>
          <w:b/>
          <w:bCs/>
        </w:rPr>
        <w:t>Reservoir resources in study districts</w:t>
      </w:r>
    </w:p>
    <w:p w:rsidR="00512F02" w:rsidRDefault="00512F02" w:rsidP="00DE3F74">
      <w:pPr>
        <w:jc w:val="both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3350260</wp:posOffset>
            </wp:positionH>
            <wp:positionV relativeFrom="paragraph">
              <wp:posOffset>27940</wp:posOffset>
            </wp:positionV>
            <wp:extent cx="2611755" cy="2028190"/>
            <wp:effectExtent l="19050" t="0" r="17145" b="0"/>
            <wp:wrapTight wrapText="bothSides">
              <wp:wrapPolygon edited="0">
                <wp:start x="-158" y="0"/>
                <wp:lineTo x="-158" y="21505"/>
                <wp:lineTo x="21742" y="21505"/>
                <wp:lineTo x="21742" y="0"/>
                <wp:lineTo x="-158" y="0"/>
              </wp:wrapPolygon>
            </wp:wrapTight>
            <wp:docPr id="3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Pr="00BB03BC">
        <w:rPr>
          <w:sz w:val="20"/>
        </w:rPr>
        <w:t xml:space="preserve">The study </w:t>
      </w:r>
      <w:r w:rsidRPr="003B0E9B">
        <w:rPr>
          <w:sz w:val="20"/>
        </w:rPr>
        <w:t xml:space="preserve">districts have as many as 20 reservoirs with a combined TWSA of </w:t>
      </w:r>
      <w:r w:rsidRPr="003B0E9B">
        <w:rPr>
          <w:rFonts w:eastAsia="Times New Roman" w:cstheme="minorHAnsi"/>
          <w:sz w:val="20"/>
          <w:szCs w:val="20"/>
        </w:rPr>
        <w:t xml:space="preserve">31725 </w:t>
      </w:r>
      <w:r w:rsidRPr="003B0E9B">
        <w:rPr>
          <w:sz w:val="20"/>
        </w:rPr>
        <w:t xml:space="preserve">ha. The reservoirs are represented by large category (two with </w:t>
      </w:r>
      <w:r w:rsidRPr="003B0E9B">
        <w:rPr>
          <w:rFonts w:eastAsia="Times New Roman" w:cstheme="minorHAnsi"/>
          <w:sz w:val="20"/>
          <w:szCs w:val="20"/>
        </w:rPr>
        <w:t>21047 ha)</w:t>
      </w:r>
      <w:r w:rsidRPr="003B0E9B">
        <w:rPr>
          <w:sz w:val="20"/>
        </w:rPr>
        <w:t xml:space="preserve"> one each in </w:t>
      </w:r>
      <w:proofErr w:type="spellStart"/>
      <w:r w:rsidRPr="003B0E9B">
        <w:rPr>
          <w:sz w:val="20"/>
        </w:rPr>
        <w:t>Karimnagar</w:t>
      </w:r>
      <w:proofErr w:type="spellEnd"/>
      <w:r w:rsidRPr="003B0E9B">
        <w:rPr>
          <w:sz w:val="20"/>
        </w:rPr>
        <w:t xml:space="preserve"> and </w:t>
      </w:r>
      <w:proofErr w:type="spellStart"/>
      <w:r w:rsidRPr="003B0E9B">
        <w:rPr>
          <w:sz w:val="20"/>
        </w:rPr>
        <w:t>Kamareddy</w:t>
      </w:r>
      <w:proofErr w:type="spellEnd"/>
      <w:r w:rsidRPr="003B0E9B">
        <w:rPr>
          <w:sz w:val="20"/>
        </w:rPr>
        <w:t xml:space="preserve"> districts, medium (three</w:t>
      </w:r>
      <w:r>
        <w:rPr>
          <w:sz w:val="20"/>
        </w:rPr>
        <w:t xml:space="preserve"> </w:t>
      </w:r>
      <w:r w:rsidRPr="003B0E9B">
        <w:rPr>
          <w:sz w:val="20"/>
        </w:rPr>
        <w:t xml:space="preserve">with </w:t>
      </w:r>
      <w:r w:rsidRPr="003B0E9B">
        <w:rPr>
          <w:rFonts w:eastAsia="Times New Roman" w:cstheme="minorHAnsi"/>
          <w:sz w:val="20"/>
          <w:szCs w:val="20"/>
        </w:rPr>
        <w:t xml:space="preserve">5361 </w:t>
      </w:r>
      <w:r w:rsidRPr="003B0E9B">
        <w:rPr>
          <w:sz w:val="20"/>
        </w:rPr>
        <w:t xml:space="preserve">TWSA) one each in </w:t>
      </w:r>
      <w:proofErr w:type="spellStart"/>
      <w:r w:rsidRPr="003B0E9B">
        <w:rPr>
          <w:sz w:val="20"/>
        </w:rPr>
        <w:t>Bhadradri</w:t>
      </w:r>
      <w:proofErr w:type="spellEnd"/>
      <w:r w:rsidRPr="003B0E9B">
        <w:rPr>
          <w:sz w:val="20"/>
        </w:rPr>
        <w:t xml:space="preserve">, </w:t>
      </w:r>
      <w:proofErr w:type="spellStart"/>
      <w:r w:rsidRPr="003B0E9B">
        <w:rPr>
          <w:sz w:val="20"/>
        </w:rPr>
        <w:t>Medak</w:t>
      </w:r>
      <w:proofErr w:type="spellEnd"/>
      <w:r w:rsidRPr="003B0E9B">
        <w:rPr>
          <w:sz w:val="20"/>
        </w:rPr>
        <w:t xml:space="preserve"> and </w:t>
      </w:r>
      <w:proofErr w:type="spellStart"/>
      <w:r w:rsidRPr="003B0E9B">
        <w:rPr>
          <w:sz w:val="20"/>
        </w:rPr>
        <w:t>Wanaparthy</w:t>
      </w:r>
      <w:proofErr w:type="spellEnd"/>
      <w:r w:rsidRPr="003B0E9B">
        <w:rPr>
          <w:sz w:val="20"/>
        </w:rPr>
        <w:t xml:space="preserve"> and small 15 </w:t>
      </w:r>
      <w:proofErr w:type="spellStart"/>
      <w:r w:rsidRPr="003B0E9B">
        <w:rPr>
          <w:sz w:val="20"/>
        </w:rPr>
        <w:t>nos</w:t>
      </w:r>
      <w:proofErr w:type="spellEnd"/>
      <w:r w:rsidRPr="003B0E9B">
        <w:rPr>
          <w:sz w:val="20"/>
        </w:rPr>
        <w:t xml:space="preserve"> with </w:t>
      </w:r>
      <w:r w:rsidRPr="003B0E9B">
        <w:rPr>
          <w:rFonts w:eastAsia="Times New Roman" w:cstheme="minorHAnsi"/>
          <w:sz w:val="20"/>
          <w:szCs w:val="20"/>
        </w:rPr>
        <w:t xml:space="preserve">5317 ha. </w:t>
      </w:r>
      <w:r w:rsidRPr="003B0E9B">
        <w:rPr>
          <w:sz w:val="20"/>
        </w:rPr>
        <w:t xml:space="preserve">The district wise distribution indicates presence of five reservoirs in </w:t>
      </w:r>
      <w:proofErr w:type="spellStart"/>
      <w:r w:rsidRPr="003B0E9B">
        <w:rPr>
          <w:sz w:val="20"/>
        </w:rPr>
        <w:t>Wanaparthy</w:t>
      </w:r>
      <w:proofErr w:type="spellEnd"/>
      <w:r w:rsidRPr="003B0E9B">
        <w:rPr>
          <w:sz w:val="20"/>
        </w:rPr>
        <w:t xml:space="preserve"> and </w:t>
      </w:r>
      <w:proofErr w:type="spellStart"/>
      <w:r w:rsidRPr="003B0E9B">
        <w:rPr>
          <w:sz w:val="20"/>
        </w:rPr>
        <w:t>Bhadradri</w:t>
      </w:r>
      <w:proofErr w:type="spellEnd"/>
      <w:r w:rsidRPr="003B0E9B">
        <w:rPr>
          <w:sz w:val="20"/>
        </w:rPr>
        <w:t xml:space="preserve"> followed by </w:t>
      </w:r>
      <w:proofErr w:type="spellStart"/>
      <w:r w:rsidRPr="003B0E9B">
        <w:rPr>
          <w:sz w:val="20"/>
        </w:rPr>
        <w:t>Mancherial</w:t>
      </w:r>
      <w:proofErr w:type="spellEnd"/>
      <w:r w:rsidRPr="003B0E9B">
        <w:rPr>
          <w:sz w:val="20"/>
        </w:rPr>
        <w:t xml:space="preserve"> with three reservoirs.  These three districts collectively account for 65% of reservoirs in study districts. </w:t>
      </w:r>
      <w:proofErr w:type="spellStart"/>
      <w:r w:rsidRPr="003B0E9B">
        <w:rPr>
          <w:sz w:val="20"/>
        </w:rPr>
        <w:t>Karimnagar</w:t>
      </w:r>
      <w:proofErr w:type="spellEnd"/>
      <w:r w:rsidRPr="003B0E9B">
        <w:rPr>
          <w:sz w:val="20"/>
        </w:rPr>
        <w:t xml:space="preserve">, </w:t>
      </w:r>
      <w:proofErr w:type="spellStart"/>
      <w:r w:rsidRPr="003B0E9B">
        <w:rPr>
          <w:sz w:val="20"/>
        </w:rPr>
        <w:t>Kamareddy</w:t>
      </w:r>
      <w:proofErr w:type="spellEnd"/>
      <w:r w:rsidRPr="003B0E9B">
        <w:rPr>
          <w:sz w:val="20"/>
        </w:rPr>
        <w:t xml:space="preserve"> and </w:t>
      </w:r>
      <w:proofErr w:type="spellStart"/>
      <w:r w:rsidRPr="003B0E9B">
        <w:rPr>
          <w:sz w:val="20"/>
        </w:rPr>
        <w:t>Medak</w:t>
      </w:r>
      <w:proofErr w:type="spellEnd"/>
      <w:r w:rsidRPr="003B0E9B">
        <w:rPr>
          <w:sz w:val="20"/>
        </w:rPr>
        <w:t xml:space="preserve"> have two reservoirs and </w:t>
      </w:r>
      <w:proofErr w:type="spellStart"/>
      <w:r w:rsidRPr="003B0E9B">
        <w:rPr>
          <w:sz w:val="20"/>
        </w:rPr>
        <w:t>Rangareddy</w:t>
      </w:r>
      <w:proofErr w:type="spellEnd"/>
      <w:r w:rsidRPr="0025166C">
        <w:rPr>
          <w:sz w:val="20"/>
        </w:rPr>
        <w:t xml:space="preserve"> has one. Both </w:t>
      </w:r>
      <w:proofErr w:type="spellStart"/>
      <w:r w:rsidRPr="0025166C">
        <w:rPr>
          <w:sz w:val="20"/>
        </w:rPr>
        <w:t>Mahabubabad</w:t>
      </w:r>
      <w:proofErr w:type="spellEnd"/>
      <w:r w:rsidRPr="0025166C">
        <w:rPr>
          <w:sz w:val="20"/>
        </w:rPr>
        <w:t xml:space="preserve"> and </w:t>
      </w:r>
      <w:proofErr w:type="spellStart"/>
      <w:r w:rsidRPr="0025166C">
        <w:rPr>
          <w:sz w:val="20"/>
        </w:rPr>
        <w:t>Yadadri</w:t>
      </w:r>
      <w:proofErr w:type="spellEnd"/>
      <w:r w:rsidRPr="0025166C">
        <w:rPr>
          <w:sz w:val="20"/>
        </w:rPr>
        <w:t xml:space="preserve"> districts have no reservoirs.</w:t>
      </w:r>
    </w:p>
    <w:p w:rsidR="00512F02" w:rsidRPr="008D003E" w:rsidRDefault="00512F02" w:rsidP="00512F02">
      <w:pPr>
        <w:jc w:val="both"/>
        <w:rPr>
          <w:sz w:val="2"/>
        </w:rPr>
      </w:pPr>
    </w:p>
    <w:tbl>
      <w:tblPr>
        <w:tblW w:w="5000" w:type="pct"/>
        <w:tblLook w:val="04A0"/>
      </w:tblPr>
      <w:tblGrid>
        <w:gridCol w:w="828"/>
        <w:gridCol w:w="3085"/>
        <w:gridCol w:w="1367"/>
        <w:gridCol w:w="1042"/>
        <w:gridCol w:w="1128"/>
        <w:gridCol w:w="1063"/>
        <w:gridCol w:w="1063"/>
      </w:tblGrid>
      <w:tr w:rsidR="00512F02" w:rsidRPr="009B3496" w:rsidTr="00DE3F74">
        <w:trPr>
          <w:trHeight w:val="315"/>
        </w:trPr>
        <w:tc>
          <w:tcPr>
            <w:tcW w:w="432" w:type="pct"/>
            <w:tcBorders>
              <w:top w:val="nil"/>
              <w:left w:val="nil"/>
              <w:bottom w:val="dotted" w:sz="2" w:space="0" w:color="A6A6A6" w:themeColor="background1" w:themeShade="A6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jc w:val="center"/>
              <w:rPr>
                <w:rFonts w:ascii="Wingdings 2" w:eastAsia="Times New Roman" w:hAnsi="Wingdings 2" w:cs="Calibri"/>
                <w:color w:val="000000"/>
                <w:sz w:val="20"/>
              </w:rPr>
            </w:pPr>
            <w:r w:rsidRPr="009B3496">
              <w:rPr>
                <w:rFonts w:ascii="Wingdings 2" w:eastAsia="Times New Roman" w:hAnsi="Wingdings 2" w:cs="Calibri"/>
                <w:color w:val="000000"/>
                <w:sz w:val="20"/>
              </w:rPr>
              <w:t></w:t>
            </w:r>
          </w:p>
        </w:tc>
        <w:tc>
          <w:tcPr>
            <w:tcW w:w="1611" w:type="pct"/>
            <w:tcBorders>
              <w:top w:val="nil"/>
              <w:left w:val="nil"/>
              <w:bottom w:val="dotted" w:sz="2" w:space="0" w:color="A6A6A6" w:themeColor="background1" w:themeShade="A6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Study Districts (over</w:t>
            </w:r>
            <w:r w:rsidRPr="009B3496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all )</w:t>
            </w:r>
          </w:p>
        </w:tc>
        <w:tc>
          <w:tcPr>
            <w:tcW w:w="714" w:type="pct"/>
            <w:tcBorders>
              <w:top w:val="nil"/>
              <w:left w:val="nil"/>
              <w:bottom w:val="dotted" w:sz="2" w:space="0" w:color="A6A6A6" w:themeColor="background1" w:themeShade="A6"/>
              <w:right w:val="nil"/>
            </w:tcBorders>
            <w:shd w:val="clear" w:color="auto" w:fill="auto"/>
            <w:noWrap/>
            <w:vAlign w:val="bottom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dotted" w:sz="2" w:space="0" w:color="A6A6A6" w:themeColor="background1" w:themeShade="A6"/>
              <w:right w:val="nil"/>
            </w:tcBorders>
            <w:shd w:val="clear" w:color="auto" w:fill="auto"/>
            <w:noWrap/>
            <w:vAlign w:val="bottom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dotted" w:sz="2" w:space="0" w:color="A6A6A6" w:themeColor="background1" w:themeShade="A6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dotted" w:sz="2" w:space="0" w:color="A6A6A6" w:themeColor="background1" w:themeShade="A6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dotted" w:sz="2" w:space="0" w:color="A6A6A6" w:themeColor="background1" w:themeShade="A6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512F02" w:rsidRPr="00F17E88" w:rsidTr="00DE3F74">
        <w:trPr>
          <w:trHeight w:val="288"/>
        </w:trPr>
        <w:tc>
          <w:tcPr>
            <w:tcW w:w="432" w:type="pct"/>
            <w:vMerge w:val="restart"/>
            <w:tcBorders>
              <w:top w:val="dotted" w:sz="2" w:space="0" w:color="A6A6A6" w:themeColor="background1" w:themeShade="A6"/>
              <w:left w:val="nil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bottom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11" w:type="pct"/>
            <w:vMerge w:val="restar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0A7AC5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A7A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Reservoirs Category</w:t>
            </w:r>
          </w:p>
        </w:tc>
        <w:tc>
          <w:tcPr>
            <w:tcW w:w="714" w:type="pct"/>
            <w:vMerge w:val="restar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0A7AC5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A7AC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Nos.</w:t>
            </w:r>
          </w:p>
        </w:tc>
        <w:tc>
          <w:tcPr>
            <w:tcW w:w="544" w:type="pct"/>
            <w:vMerge w:val="restar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144" w:type="pct"/>
            <w:gridSpan w:val="2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Seasonality</w:t>
            </w:r>
          </w:p>
        </w:tc>
        <w:tc>
          <w:tcPr>
            <w:tcW w:w="555" w:type="pct"/>
            <w:vMerge w:val="restar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TWSA                  (in Ha.)</w:t>
            </w:r>
          </w:p>
        </w:tc>
      </w:tr>
      <w:tr w:rsidR="00512F02" w:rsidRPr="00F17E88" w:rsidTr="00DE3F74">
        <w:trPr>
          <w:trHeight w:val="288"/>
        </w:trPr>
        <w:tc>
          <w:tcPr>
            <w:tcW w:w="432" w:type="pct"/>
            <w:vMerge/>
            <w:tcBorders>
              <w:top w:val="dotted" w:sz="2" w:space="0" w:color="A6A6A6" w:themeColor="background1" w:themeShade="A6"/>
              <w:left w:val="nil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11" w:type="pct"/>
            <w:vMerge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4" w:type="pct"/>
            <w:vMerge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LS</w:t>
            </w:r>
          </w:p>
        </w:tc>
        <w:tc>
          <w:tcPr>
            <w:tcW w:w="555" w:type="pct"/>
            <w:vMerge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2F02" w:rsidRPr="00F17E88" w:rsidTr="00DE3F74">
        <w:trPr>
          <w:trHeight w:val="288"/>
        </w:trPr>
        <w:tc>
          <w:tcPr>
            <w:tcW w:w="432" w:type="pct"/>
            <w:tcBorders>
              <w:top w:val="dotted" w:sz="2" w:space="0" w:color="A6A6A6" w:themeColor="background1" w:themeShade="A6"/>
              <w:left w:val="nil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F7736B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</w:t>
            </w:r>
          </w:p>
        </w:tc>
        <w:tc>
          <w:tcPr>
            <w:tcW w:w="1611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Large 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sz w:val="18"/>
                <w:szCs w:val="18"/>
              </w:rPr>
              <w:t>21047</w:t>
            </w:r>
          </w:p>
        </w:tc>
      </w:tr>
      <w:tr w:rsidR="00512F02" w:rsidRPr="00F17E88" w:rsidTr="00DE3F74">
        <w:trPr>
          <w:trHeight w:val="288"/>
        </w:trPr>
        <w:tc>
          <w:tcPr>
            <w:tcW w:w="432" w:type="pct"/>
            <w:tcBorders>
              <w:top w:val="dotted" w:sz="2" w:space="0" w:color="A6A6A6" w:themeColor="background1" w:themeShade="A6"/>
              <w:left w:val="nil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F7736B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</w:t>
            </w:r>
          </w:p>
        </w:tc>
        <w:tc>
          <w:tcPr>
            <w:tcW w:w="1611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sz w:val="18"/>
                <w:szCs w:val="18"/>
              </w:rPr>
              <w:t>5361</w:t>
            </w:r>
          </w:p>
        </w:tc>
      </w:tr>
      <w:tr w:rsidR="00512F02" w:rsidRPr="00F17E88" w:rsidTr="00DE3F74">
        <w:trPr>
          <w:trHeight w:val="288"/>
        </w:trPr>
        <w:tc>
          <w:tcPr>
            <w:tcW w:w="432" w:type="pct"/>
            <w:tcBorders>
              <w:top w:val="dotted" w:sz="2" w:space="0" w:color="A6A6A6" w:themeColor="background1" w:themeShade="A6"/>
              <w:left w:val="nil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F7736B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</w:t>
            </w:r>
          </w:p>
        </w:tc>
        <w:tc>
          <w:tcPr>
            <w:tcW w:w="1611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sz w:val="18"/>
                <w:szCs w:val="18"/>
              </w:rPr>
              <w:t>5317</w:t>
            </w:r>
          </w:p>
        </w:tc>
      </w:tr>
      <w:tr w:rsidR="00512F02" w:rsidRPr="00927028" w:rsidTr="00DE3F74">
        <w:trPr>
          <w:trHeight w:val="288"/>
        </w:trPr>
        <w:tc>
          <w:tcPr>
            <w:tcW w:w="432" w:type="pct"/>
            <w:tcBorders>
              <w:top w:val="dotted" w:sz="2" w:space="0" w:color="A6A6A6" w:themeColor="background1" w:themeShade="A6"/>
              <w:left w:val="nil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1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  <w:right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left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513B7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fldChar w:fldCharType="begin"/>
            </w:r>
            <w:r w:rsidR="00512F02"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instrText xml:space="preserve"> =SUM(ABOVE) </w:instrText>
            </w: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fldChar w:fldCharType="separate"/>
            </w:r>
            <w:r w:rsidR="00512F02" w:rsidRPr="00F7736B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18"/>
                <w:szCs w:val="18"/>
              </w:rPr>
              <w:t>31725</w:t>
            </w: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512F02" w:rsidRPr="00C21590" w:rsidRDefault="00512F02" w:rsidP="00512F02">
      <w:pPr>
        <w:spacing w:line="240" w:lineRule="auto"/>
        <w:jc w:val="both"/>
        <w:rPr>
          <w:b/>
          <w:sz w:val="4"/>
          <w:szCs w:val="18"/>
        </w:rPr>
      </w:pPr>
    </w:p>
    <w:tbl>
      <w:tblPr>
        <w:tblW w:w="5000" w:type="pct"/>
        <w:tblBorders>
          <w:top w:val="dotted" w:sz="2" w:space="0" w:color="A6A6A6" w:themeColor="background1" w:themeShade="A6"/>
          <w:bottom w:val="dotted" w:sz="2" w:space="0" w:color="A6A6A6" w:themeColor="background1" w:themeShade="A6"/>
          <w:insideV w:val="dotted" w:sz="2" w:space="0" w:color="A6A6A6" w:themeColor="background1" w:themeShade="A6"/>
        </w:tblBorders>
        <w:tblLook w:val="04A0"/>
      </w:tblPr>
      <w:tblGrid>
        <w:gridCol w:w="766"/>
        <w:gridCol w:w="3147"/>
        <w:gridCol w:w="1367"/>
        <w:gridCol w:w="1042"/>
        <w:gridCol w:w="1128"/>
        <w:gridCol w:w="1063"/>
        <w:gridCol w:w="1063"/>
      </w:tblGrid>
      <w:tr w:rsidR="00512F02" w:rsidRPr="009B3496" w:rsidTr="00E911E8">
        <w:trPr>
          <w:trHeight w:val="252"/>
        </w:trPr>
        <w:tc>
          <w:tcPr>
            <w:tcW w:w="40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jc w:val="center"/>
              <w:rPr>
                <w:rFonts w:ascii="Wingdings 2" w:eastAsia="Times New Roman" w:hAnsi="Wingdings 2" w:cs="Calibri"/>
                <w:color w:val="000000"/>
                <w:sz w:val="20"/>
              </w:rPr>
            </w:pPr>
            <w:r>
              <w:rPr>
                <w:b/>
                <w:sz w:val="18"/>
                <w:szCs w:val="18"/>
              </w:rPr>
              <w:br w:type="page"/>
            </w:r>
            <w:r w:rsidRPr="009B3496">
              <w:rPr>
                <w:rFonts w:ascii="Wingdings 2" w:eastAsia="Times New Roman" w:hAnsi="Wingdings 2" w:cs="Calibri"/>
                <w:color w:val="000000"/>
                <w:sz w:val="20"/>
              </w:rPr>
              <w:t></w:t>
            </w:r>
          </w:p>
        </w:tc>
        <w:tc>
          <w:tcPr>
            <w:tcW w:w="1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</w:rPr>
            </w:pPr>
            <w:r w:rsidRPr="009B34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</w:rPr>
              <w:t xml:space="preserve">Study Districts 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12F02" w:rsidRPr="009B3496" w:rsidRDefault="00512F02" w:rsidP="00E911E8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512F02" w:rsidRPr="00F17E88" w:rsidTr="00DE3F74">
        <w:trPr>
          <w:trHeight w:val="215"/>
        </w:trPr>
        <w:tc>
          <w:tcPr>
            <w:tcW w:w="400" w:type="pct"/>
            <w:vMerge w:val="restart"/>
            <w:tcBorders>
              <w:top w:val="nil"/>
              <w:bottom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Sl.No</w:t>
            </w:r>
            <w:proofErr w:type="spellEnd"/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43" w:type="pct"/>
            <w:vMerge w:val="restart"/>
            <w:tcBorders>
              <w:top w:val="nil"/>
              <w:bottom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District</w:t>
            </w:r>
          </w:p>
        </w:tc>
        <w:tc>
          <w:tcPr>
            <w:tcW w:w="714" w:type="pct"/>
            <w:vMerge w:val="restart"/>
            <w:tcBorders>
              <w:top w:val="nil"/>
              <w:bottom w:val="dotted" w:sz="2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No. of reservoir</w:t>
            </w:r>
          </w:p>
        </w:tc>
        <w:tc>
          <w:tcPr>
            <w:tcW w:w="544" w:type="pct"/>
            <w:vMerge w:val="restart"/>
            <w:tcBorders>
              <w:top w:val="nil"/>
              <w:bottom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144" w:type="pct"/>
            <w:gridSpan w:val="2"/>
            <w:tcBorders>
              <w:top w:val="nil"/>
              <w:bottom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Seasonality </w:t>
            </w:r>
          </w:p>
        </w:tc>
        <w:tc>
          <w:tcPr>
            <w:tcW w:w="555" w:type="pct"/>
            <w:vMerge w:val="restart"/>
            <w:tcBorders>
              <w:top w:val="nil"/>
              <w:bottom w:val="dotted" w:sz="2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TWSA                  (in Ha.)</w:t>
            </w:r>
          </w:p>
        </w:tc>
      </w:tr>
      <w:tr w:rsidR="00512F02" w:rsidRPr="00F17E88" w:rsidTr="00DE3F74">
        <w:trPr>
          <w:trHeight w:val="170"/>
        </w:trPr>
        <w:tc>
          <w:tcPr>
            <w:tcW w:w="400" w:type="pct"/>
            <w:vMerge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3" w:type="pct"/>
            <w:vMerge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pct"/>
            <w:vMerge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LS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B8CCE4" w:themeFill="accent1" w:themeFillTint="66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555" w:type="pct"/>
            <w:vMerge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2F02" w:rsidRPr="00F17E88" w:rsidTr="00E911E8">
        <w:trPr>
          <w:trHeight w:val="233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A1 - KMR  - </w:t>
            </w:r>
            <w:proofErr w:type="spellStart"/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Kamareddy</w:t>
            </w:r>
            <w:proofErr w:type="spellEnd"/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14633</w:t>
            </w:r>
          </w:p>
        </w:tc>
      </w:tr>
      <w:tr w:rsidR="00512F02" w:rsidRPr="00F17E88" w:rsidTr="00E911E8">
        <w:trPr>
          <w:trHeight w:val="242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A2 - KRN  - </w:t>
            </w:r>
            <w:proofErr w:type="spellStart"/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Karimnagar</w:t>
            </w:r>
            <w:proofErr w:type="spellEnd"/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8447</w:t>
            </w:r>
          </w:p>
        </w:tc>
      </w:tr>
      <w:tr w:rsidR="00512F02" w:rsidRPr="00F17E88" w:rsidTr="00E911E8">
        <w:trPr>
          <w:trHeight w:val="80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A3 - MAN - </w:t>
            </w:r>
            <w:proofErr w:type="spellStart"/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Mancherial</w:t>
            </w:r>
            <w:proofErr w:type="spellEnd"/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1676</w:t>
            </w:r>
          </w:p>
        </w:tc>
      </w:tr>
      <w:tr w:rsidR="00512F02" w:rsidRPr="00F17E88" w:rsidTr="00E911E8">
        <w:trPr>
          <w:trHeight w:val="188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513B7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fldChar w:fldCharType="begin"/>
            </w:r>
            <w:r w:rsidR="00512F02"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instrText xml:space="preserve"> =SUM(ABOVE) </w:instrText>
            </w: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fldChar w:fldCharType="separate"/>
            </w:r>
            <w:r w:rsidR="00512F02" w:rsidRPr="00F7736B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18"/>
                <w:szCs w:val="18"/>
              </w:rPr>
              <w:t>24756</w:t>
            </w: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fldChar w:fldCharType="end"/>
            </w: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fldChar w:fldCharType="begin"/>
            </w:r>
            <w:r w:rsidR="00512F02"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instrText xml:space="preserve"> =SUM(ABOVE) </w:instrText>
            </w: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fldChar w:fldCharType="end"/>
            </w:r>
          </w:p>
        </w:tc>
      </w:tr>
      <w:tr w:rsidR="00512F02" w:rsidRPr="00F17E88" w:rsidTr="00E911E8">
        <w:trPr>
          <w:trHeight w:val="107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25166C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B4 - MDK –</w:t>
            </w:r>
            <w:proofErr w:type="spellStart"/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Medak</w:t>
            </w:r>
            <w:proofErr w:type="spellEnd"/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450</w:t>
            </w:r>
          </w:p>
        </w:tc>
      </w:tr>
      <w:tr w:rsidR="00512F02" w:rsidRPr="00F17E88" w:rsidTr="00E911E8">
        <w:trPr>
          <w:trHeight w:val="125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25166C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B5 - RGR -  </w:t>
            </w:r>
            <w:proofErr w:type="spellStart"/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Rangareddy</w:t>
            </w:r>
            <w:proofErr w:type="spellEnd"/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118</w:t>
            </w:r>
          </w:p>
        </w:tc>
      </w:tr>
      <w:tr w:rsidR="00512F02" w:rsidRPr="00F17E88" w:rsidTr="00E911E8">
        <w:trPr>
          <w:trHeight w:val="70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25166C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B6 - WPY 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Wanaparthy</w:t>
            </w:r>
            <w:proofErr w:type="spellEnd"/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2105</w:t>
            </w:r>
          </w:p>
        </w:tc>
      </w:tr>
      <w:tr w:rsidR="00512F02" w:rsidRPr="00F17E88" w:rsidTr="00E911E8">
        <w:trPr>
          <w:trHeight w:val="170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25166C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516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2673</w:t>
            </w:r>
          </w:p>
        </w:tc>
      </w:tr>
      <w:tr w:rsidR="00512F02" w:rsidRPr="00F17E88" w:rsidTr="00E911E8">
        <w:trPr>
          <w:trHeight w:val="188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25166C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C7 - BDR </w:t>
            </w:r>
            <w:proofErr w:type="spellStart"/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Bhadradri</w:t>
            </w:r>
            <w:proofErr w:type="spellEnd"/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4296</w:t>
            </w:r>
          </w:p>
        </w:tc>
      </w:tr>
      <w:tr w:rsidR="00512F02" w:rsidRPr="00F17E88" w:rsidTr="00E911E8">
        <w:trPr>
          <w:trHeight w:val="107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25166C" w:rsidRDefault="00512F02" w:rsidP="00E911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C8 - MBD - </w:t>
            </w:r>
            <w:proofErr w:type="spellStart"/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Mahabubabad</w:t>
            </w:r>
            <w:proofErr w:type="spellEnd"/>
            <w:r w:rsidRPr="0025166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</w:tr>
      <w:tr w:rsidR="00512F02" w:rsidRPr="00F17E88" w:rsidTr="00E911E8">
        <w:trPr>
          <w:trHeight w:val="125"/>
        </w:trPr>
        <w:tc>
          <w:tcPr>
            <w:tcW w:w="400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C9 - YDR -</w:t>
            </w:r>
            <w:proofErr w:type="spellStart"/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Yadadri</w:t>
            </w:r>
            <w:proofErr w:type="spellEnd"/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dotted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</w:tr>
      <w:tr w:rsidR="00512F02" w:rsidRPr="00F17E88" w:rsidTr="00E911E8">
        <w:trPr>
          <w:trHeight w:val="80"/>
        </w:trPr>
        <w:tc>
          <w:tcPr>
            <w:tcW w:w="400" w:type="pct"/>
            <w:tcBorders>
              <w:top w:val="dotted" w:sz="2" w:space="0" w:color="A6A6A6" w:themeColor="background1" w:themeShade="A6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43" w:type="pct"/>
            <w:tcBorders>
              <w:top w:val="dotted" w:sz="2" w:space="0" w:color="A6A6A6" w:themeColor="background1" w:themeShade="A6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4" w:type="pct"/>
            <w:tcBorders>
              <w:top w:val="dotted" w:sz="2" w:space="0" w:color="A6A6A6" w:themeColor="background1" w:themeShade="A6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dotted" w:sz="2" w:space="0" w:color="A6A6A6" w:themeColor="background1" w:themeShade="A6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9" w:type="pct"/>
            <w:tcBorders>
              <w:top w:val="dotted" w:sz="2" w:space="0" w:color="A6A6A6" w:themeColor="background1" w:themeShade="A6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pct"/>
            <w:tcBorders>
              <w:top w:val="dotted" w:sz="2" w:space="0" w:color="A6A6A6" w:themeColor="background1" w:themeShade="A6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4296</w:t>
            </w:r>
          </w:p>
        </w:tc>
      </w:tr>
      <w:tr w:rsidR="00512F02" w:rsidRPr="00F17E88" w:rsidTr="00E911E8">
        <w:trPr>
          <w:trHeight w:val="152"/>
        </w:trPr>
        <w:tc>
          <w:tcPr>
            <w:tcW w:w="400" w:type="pct"/>
            <w:tcBorders>
              <w:top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43" w:type="pct"/>
            <w:tcBorders>
              <w:top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 (Study district)</w:t>
            </w:r>
          </w:p>
        </w:tc>
        <w:tc>
          <w:tcPr>
            <w:tcW w:w="714" w:type="pct"/>
            <w:tcBorders>
              <w:top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89" w:type="pct"/>
            <w:tcBorders>
              <w:top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77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5" w:type="pct"/>
            <w:tcBorders>
              <w:top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2F02" w:rsidRPr="00F7736B" w:rsidRDefault="00512F02" w:rsidP="00E911E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31725</w:t>
            </w:r>
          </w:p>
        </w:tc>
      </w:tr>
    </w:tbl>
    <w:p w:rsidR="00512F02" w:rsidRDefault="00512F02" w:rsidP="00512F02">
      <w:pPr>
        <w:spacing w:after="0" w:line="240" w:lineRule="auto"/>
        <w:jc w:val="both"/>
        <w:rPr>
          <w:b/>
        </w:rPr>
      </w:pPr>
    </w:p>
    <w:p w:rsidR="00512F02" w:rsidRDefault="00512F02" w:rsidP="00512F02">
      <w:pPr>
        <w:spacing w:after="0" w:line="240" w:lineRule="auto"/>
        <w:jc w:val="both"/>
        <w:rPr>
          <w:b/>
        </w:rPr>
      </w:pPr>
    </w:p>
    <w:p w:rsidR="00DE3F74" w:rsidRDefault="00DE3F74" w:rsidP="00512F02">
      <w:pPr>
        <w:spacing w:after="0" w:line="240" w:lineRule="auto"/>
        <w:jc w:val="both"/>
        <w:rPr>
          <w:b/>
        </w:rPr>
      </w:pPr>
    </w:p>
    <w:p w:rsidR="00DE3F74" w:rsidRPr="0004510F" w:rsidRDefault="00DE3F74" w:rsidP="00512F02">
      <w:pPr>
        <w:spacing w:after="0" w:line="240" w:lineRule="auto"/>
        <w:jc w:val="both"/>
        <w:rPr>
          <w:b/>
          <w:sz w:val="24"/>
        </w:rPr>
      </w:pPr>
    </w:p>
    <w:p w:rsidR="00512F02" w:rsidRPr="0004510F" w:rsidRDefault="00512F02" w:rsidP="00512F02">
      <w:pPr>
        <w:jc w:val="both"/>
        <w:rPr>
          <w:b/>
        </w:rPr>
      </w:pPr>
      <w:r w:rsidRPr="0004510F">
        <w:rPr>
          <w:b/>
        </w:rPr>
        <w:lastRenderedPageBreak/>
        <w:t>Reservoirs Distribution (River basin wise)</w:t>
      </w:r>
    </w:p>
    <w:tbl>
      <w:tblPr>
        <w:tblStyle w:val="TableGrid"/>
        <w:tblW w:w="0" w:type="auto"/>
        <w:tblBorders>
          <w:top w:val="single" w:sz="18" w:space="0" w:color="365F91" w:themeColor="accent1" w:themeShade="BF"/>
          <w:left w:val="none" w:sz="0" w:space="0" w:color="auto"/>
          <w:bottom w:val="single" w:sz="18" w:space="0" w:color="365F91" w:themeColor="accent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4"/>
        <w:gridCol w:w="7482"/>
      </w:tblGrid>
      <w:tr w:rsidR="00512F02" w:rsidRPr="00430AE8" w:rsidTr="0004510F">
        <w:trPr>
          <w:trHeight w:val="1728"/>
        </w:trPr>
        <w:tc>
          <w:tcPr>
            <w:tcW w:w="2094" w:type="dxa"/>
            <w:shd w:val="thinReverseDiagStripe" w:color="D9D9D9" w:themeColor="background1" w:themeShade="D9" w:fill="auto"/>
            <w:vAlign w:val="center"/>
          </w:tcPr>
          <w:p w:rsidR="00512F02" w:rsidRPr="0004510F" w:rsidRDefault="00512F02" w:rsidP="00E911E8">
            <w:pPr>
              <w:rPr>
                <w:b/>
                <w:sz w:val="24"/>
                <w:szCs w:val="18"/>
                <w:highlight w:val="yellow"/>
              </w:rPr>
            </w:pPr>
            <w:r w:rsidRPr="0004510F">
              <w:rPr>
                <w:b/>
                <w:sz w:val="24"/>
              </w:rPr>
              <w:t>Godavari river basin</w:t>
            </w:r>
          </w:p>
        </w:tc>
        <w:tc>
          <w:tcPr>
            <w:tcW w:w="7482" w:type="dxa"/>
            <w:shd w:val="clear" w:color="auto" w:fill="auto"/>
          </w:tcPr>
          <w:p w:rsidR="00512F02" w:rsidRPr="00A120C4" w:rsidRDefault="00512F02" w:rsidP="0004510F">
            <w:pPr>
              <w:pStyle w:val="ListParagraph"/>
              <w:numPr>
                <w:ilvl w:val="0"/>
                <w:numId w:val="2"/>
              </w:numPr>
              <w:spacing w:before="240" w:line="276" w:lineRule="auto"/>
              <w:rPr>
                <w:sz w:val="20"/>
                <w:szCs w:val="20"/>
              </w:rPr>
            </w:pPr>
            <w:r w:rsidRPr="00A120C4">
              <w:rPr>
                <w:sz w:val="20"/>
                <w:szCs w:val="20"/>
              </w:rPr>
              <w:t xml:space="preserve">Presence of all the large reservoirs of the study districts </w:t>
            </w:r>
          </w:p>
          <w:p w:rsidR="00512F02" w:rsidRPr="00A120C4" w:rsidRDefault="00512F02" w:rsidP="00DE3F7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A120C4">
              <w:rPr>
                <w:sz w:val="20"/>
                <w:szCs w:val="20"/>
              </w:rPr>
              <w:t xml:space="preserve"> Predominance of both medium and small reservoirs (80% and 78% respectively)</w:t>
            </w:r>
          </w:p>
          <w:p w:rsidR="00512F02" w:rsidRPr="00A120C4" w:rsidRDefault="00512F02" w:rsidP="00DE3F7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A120C4">
              <w:rPr>
                <w:sz w:val="20"/>
                <w:szCs w:val="20"/>
              </w:rPr>
              <w:t xml:space="preserve">In over all terms, 14 reservoirs with TWSA of 29502 (93% in area) </w:t>
            </w:r>
          </w:p>
          <w:p w:rsidR="00512F02" w:rsidRPr="00754DB5" w:rsidRDefault="00512F02" w:rsidP="00DE3F7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sz w:val="18"/>
                <w:szCs w:val="18"/>
              </w:rPr>
            </w:pPr>
            <w:r w:rsidRPr="00A120C4">
              <w:rPr>
                <w:sz w:val="20"/>
                <w:szCs w:val="20"/>
              </w:rPr>
              <w:t>Four reservoirs (</w:t>
            </w:r>
            <w:proofErr w:type="spellStart"/>
            <w:r w:rsidRPr="00A120C4">
              <w:rPr>
                <w:sz w:val="20"/>
                <w:szCs w:val="20"/>
              </w:rPr>
              <w:t>Nijamsagar</w:t>
            </w:r>
            <w:proofErr w:type="spellEnd"/>
            <w:r w:rsidRPr="00A120C4">
              <w:rPr>
                <w:sz w:val="20"/>
                <w:szCs w:val="20"/>
              </w:rPr>
              <w:t xml:space="preserve">, </w:t>
            </w:r>
            <w:proofErr w:type="spellStart"/>
            <w:r w:rsidRPr="00A120C4">
              <w:rPr>
                <w:sz w:val="20"/>
                <w:szCs w:val="20"/>
              </w:rPr>
              <w:t>Pocharam</w:t>
            </w:r>
            <w:proofErr w:type="spellEnd"/>
            <w:r w:rsidRPr="00A120C4">
              <w:rPr>
                <w:sz w:val="20"/>
                <w:szCs w:val="20"/>
              </w:rPr>
              <w:t xml:space="preserve">, LMD and </w:t>
            </w:r>
            <w:proofErr w:type="spellStart"/>
            <w:r w:rsidRPr="00A120C4">
              <w:rPr>
                <w:sz w:val="20"/>
                <w:szCs w:val="20"/>
              </w:rPr>
              <w:t>Haldi</w:t>
            </w:r>
            <w:proofErr w:type="spellEnd"/>
            <w:r w:rsidRPr="00A120C4">
              <w:rPr>
                <w:sz w:val="20"/>
                <w:szCs w:val="20"/>
              </w:rPr>
              <w:t xml:space="preserve"> project) are under licensing system and the rest under lease system</w:t>
            </w:r>
            <w:r w:rsidRPr="00754DB5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12F02" w:rsidRPr="00430AE8" w:rsidTr="0004510F">
        <w:trPr>
          <w:trHeight w:val="4131"/>
        </w:trPr>
        <w:tc>
          <w:tcPr>
            <w:tcW w:w="2094" w:type="dxa"/>
            <w:shd w:val="thinReverseDiagStripe" w:color="D9D9D9" w:themeColor="background1" w:themeShade="D9" w:fill="auto"/>
            <w:vAlign w:val="center"/>
          </w:tcPr>
          <w:p w:rsidR="00512F02" w:rsidRPr="0004510F" w:rsidRDefault="00512F02" w:rsidP="00E911E8">
            <w:pPr>
              <w:rPr>
                <w:b/>
                <w:sz w:val="24"/>
                <w:szCs w:val="18"/>
              </w:rPr>
            </w:pPr>
            <w:r w:rsidRPr="0004510F">
              <w:rPr>
                <w:b/>
                <w:sz w:val="24"/>
                <w:szCs w:val="18"/>
              </w:rPr>
              <w:t>Highlights</w:t>
            </w:r>
          </w:p>
          <w:p w:rsidR="00512F02" w:rsidRPr="0004510F" w:rsidRDefault="00512F02" w:rsidP="00E911E8">
            <w:pPr>
              <w:rPr>
                <w:sz w:val="24"/>
                <w:szCs w:val="18"/>
                <w:highlight w:val="yellow"/>
              </w:rPr>
            </w:pPr>
          </w:p>
        </w:tc>
        <w:tc>
          <w:tcPr>
            <w:tcW w:w="7482" w:type="dxa"/>
            <w:shd w:val="clear" w:color="auto" w:fill="auto"/>
          </w:tcPr>
          <w:p w:rsidR="00512F02" w:rsidRPr="00754DB5" w:rsidRDefault="00512F02" w:rsidP="0004510F">
            <w:pPr>
              <w:pStyle w:val="ListParagraph"/>
              <w:numPr>
                <w:ilvl w:val="0"/>
                <w:numId w:val="3"/>
              </w:numPr>
              <w:spacing w:before="240" w:line="276" w:lineRule="auto"/>
              <w:jc w:val="both"/>
              <w:rPr>
                <w:sz w:val="20"/>
              </w:rPr>
            </w:pPr>
            <w:r w:rsidRPr="00754DB5">
              <w:rPr>
                <w:sz w:val="20"/>
              </w:rPr>
              <w:t xml:space="preserve">Majority of the reservoirs in study districts (75%) are small and the one at </w:t>
            </w:r>
            <w:proofErr w:type="spellStart"/>
            <w:r w:rsidRPr="00754DB5">
              <w:rPr>
                <w:sz w:val="20"/>
              </w:rPr>
              <w:t>Wanaparthy</w:t>
            </w:r>
            <w:proofErr w:type="spellEnd"/>
            <w:r w:rsidRPr="00754DB5">
              <w:rPr>
                <w:sz w:val="20"/>
              </w:rPr>
              <w:t xml:space="preserve"> district is smallest (</w:t>
            </w:r>
            <w:proofErr w:type="spellStart"/>
            <w:r w:rsidRPr="00754DB5">
              <w:rPr>
                <w:rFonts w:eastAsia="Times New Roman" w:cstheme="minorHAnsi"/>
                <w:sz w:val="20"/>
                <w:szCs w:val="20"/>
              </w:rPr>
              <w:t>Yenkunta</w:t>
            </w:r>
            <w:proofErr w:type="spellEnd"/>
            <w:r w:rsidRPr="00754DB5">
              <w:rPr>
                <w:rFonts w:eastAsia="Times New Roman" w:cstheme="minorHAnsi"/>
                <w:sz w:val="20"/>
                <w:szCs w:val="20"/>
              </w:rPr>
              <w:t xml:space="preserve"> reservoir, 50ha TWSA).</w:t>
            </w:r>
            <w:r w:rsidRPr="00754DB5">
              <w:rPr>
                <w:sz w:val="20"/>
              </w:rPr>
              <w:t xml:space="preserve"> The reservoir of </w:t>
            </w:r>
            <w:proofErr w:type="spellStart"/>
            <w:r w:rsidRPr="00754DB5">
              <w:rPr>
                <w:sz w:val="20"/>
              </w:rPr>
              <w:t>Rangareddy</w:t>
            </w:r>
            <w:proofErr w:type="spellEnd"/>
            <w:r w:rsidRPr="00754DB5">
              <w:rPr>
                <w:sz w:val="20"/>
              </w:rPr>
              <w:t xml:space="preserve"> (118 ha) is categorized under long seasonal.</w:t>
            </w:r>
          </w:p>
          <w:p w:rsidR="00512F02" w:rsidRPr="00754DB5" w:rsidRDefault="00512F02" w:rsidP="00DE3F74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754DB5">
              <w:rPr>
                <w:sz w:val="20"/>
                <w:szCs w:val="20"/>
              </w:rPr>
              <w:t>In l</w:t>
            </w:r>
            <w:r w:rsidRPr="00754DB5">
              <w:rPr>
                <w:rFonts w:cstheme="minorHAnsi"/>
                <w:sz w:val="20"/>
                <w:szCs w:val="20"/>
              </w:rPr>
              <w:t xml:space="preserve">arge reservoirs category, </w:t>
            </w:r>
            <w:r w:rsidRPr="00754DB5">
              <w:rPr>
                <w:rFonts w:eastAsia="Times New Roman" w:cstheme="minorHAnsi"/>
                <w:sz w:val="20"/>
                <w:szCs w:val="20"/>
              </w:rPr>
              <w:t xml:space="preserve">Sri </w:t>
            </w:r>
            <w:proofErr w:type="spellStart"/>
            <w:r w:rsidRPr="00754DB5">
              <w:rPr>
                <w:rFonts w:eastAsia="Times New Roman" w:cstheme="minorHAnsi"/>
                <w:sz w:val="20"/>
                <w:szCs w:val="20"/>
              </w:rPr>
              <w:t>Ramsagar</w:t>
            </w:r>
            <w:proofErr w:type="spellEnd"/>
            <w:r w:rsidRPr="00754DB5">
              <w:rPr>
                <w:rFonts w:eastAsia="Times New Roman" w:cstheme="minorHAnsi"/>
                <w:sz w:val="20"/>
                <w:szCs w:val="20"/>
              </w:rPr>
              <w:t xml:space="preserve"> project</w:t>
            </w:r>
            <w:r w:rsidRPr="00754DB5">
              <w:rPr>
                <w:rFonts w:cstheme="minorHAnsi"/>
                <w:sz w:val="20"/>
                <w:szCs w:val="20"/>
              </w:rPr>
              <w:t xml:space="preserve"> is the largest having an area of </w:t>
            </w:r>
            <w:r w:rsidRPr="00754DB5">
              <w:rPr>
                <w:rFonts w:eastAsia="Times New Roman" w:cstheme="minorHAnsi"/>
                <w:color w:val="000000"/>
                <w:sz w:val="20"/>
                <w:szCs w:val="20"/>
              </w:rPr>
              <w:t>33526</w:t>
            </w:r>
            <w:r w:rsidRPr="00754DB5">
              <w:rPr>
                <w:rFonts w:cstheme="minorHAnsi"/>
                <w:sz w:val="20"/>
                <w:szCs w:val="20"/>
              </w:rPr>
              <w:t xml:space="preserve">ha (FRL) in Godavari basin and </w:t>
            </w:r>
            <w:proofErr w:type="spellStart"/>
            <w:r w:rsidRPr="00754DB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Srisailam</w:t>
            </w:r>
            <w:proofErr w:type="spellEnd"/>
            <w:r w:rsidRPr="00754DB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Project </w:t>
            </w:r>
            <w:r w:rsidRPr="00754DB5">
              <w:rPr>
                <w:rFonts w:cstheme="minorHAnsi"/>
                <w:sz w:val="20"/>
                <w:szCs w:val="20"/>
              </w:rPr>
              <w:t xml:space="preserve">in Krishna basin </w:t>
            </w:r>
            <w:r w:rsidRPr="00754DB5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27090 </w:t>
            </w:r>
            <w:r w:rsidRPr="00754DB5">
              <w:rPr>
                <w:rFonts w:cstheme="minorHAnsi"/>
                <w:sz w:val="20"/>
                <w:szCs w:val="20"/>
              </w:rPr>
              <w:t>(FRL).</w:t>
            </w:r>
          </w:p>
          <w:p w:rsidR="00512F02" w:rsidRPr="00754DB5" w:rsidRDefault="00512F02" w:rsidP="00DE3F74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54DB5">
              <w:rPr>
                <w:rFonts w:cstheme="minorHAnsi"/>
                <w:sz w:val="20"/>
                <w:szCs w:val="20"/>
              </w:rPr>
              <w:t xml:space="preserve">In Medium Reservoirs category, the largest reservoir is </w:t>
            </w:r>
            <w:r w:rsidRPr="00754DB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Rajiv </w:t>
            </w:r>
            <w:proofErr w:type="spellStart"/>
            <w:r w:rsidRPr="00754DB5">
              <w:rPr>
                <w:rFonts w:eastAsia="Times New Roman" w:cstheme="minorHAnsi"/>
                <w:color w:val="000000"/>
                <w:sz w:val="20"/>
                <w:szCs w:val="20"/>
              </w:rPr>
              <w:t>Bhima</w:t>
            </w:r>
            <w:proofErr w:type="spellEnd"/>
            <w:r w:rsidRPr="00754DB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LIS in </w:t>
            </w:r>
            <w:r w:rsidRPr="00754DB5">
              <w:rPr>
                <w:rFonts w:eastAsia="Times New Roman" w:cstheme="minorHAnsi"/>
                <w:sz w:val="20"/>
                <w:szCs w:val="20"/>
              </w:rPr>
              <w:t>Krishna River basin (</w:t>
            </w:r>
            <w:r w:rsidRPr="00754DB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4797 ha) </w:t>
            </w:r>
            <w:r w:rsidRPr="00754DB5">
              <w:rPr>
                <w:rFonts w:cstheme="minorHAnsi"/>
                <w:sz w:val="20"/>
                <w:szCs w:val="20"/>
              </w:rPr>
              <w:t xml:space="preserve">and the smallest is </w:t>
            </w:r>
            <w:proofErr w:type="spellStart"/>
            <w:r w:rsidRPr="00754DB5">
              <w:rPr>
                <w:rFonts w:eastAsia="Times New Roman" w:cstheme="minorHAnsi"/>
                <w:sz w:val="20"/>
                <w:szCs w:val="20"/>
              </w:rPr>
              <w:t>Sarlasagar</w:t>
            </w:r>
            <w:proofErr w:type="spellEnd"/>
            <w:r w:rsidRPr="00754DB5">
              <w:rPr>
                <w:rFonts w:eastAsia="Times New Roman" w:cstheme="minorHAnsi"/>
                <w:sz w:val="20"/>
                <w:szCs w:val="20"/>
              </w:rPr>
              <w:t xml:space="preserve"> in Krishna River basin (1077 ha).</w:t>
            </w:r>
          </w:p>
          <w:p w:rsidR="00512F02" w:rsidRPr="00754DB5" w:rsidRDefault="00512F02" w:rsidP="00DE3F74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54DB5">
              <w:rPr>
                <w:sz w:val="20"/>
                <w:szCs w:val="20"/>
              </w:rPr>
              <w:t>Out of 103 reservoirs, about 17 reservoirs are licensed to fishers</w:t>
            </w:r>
          </w:p>
          <w:p w:rsidR="00512F02" w:rsidRPr="00754DB5" w:rsidRDefault="00512F02" w:rsidP="00DE3F74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Others </w:t>
            </w:r>
            <w:r w:rsidRPr="00754DB5">
              <w:rPr>
                <w:sz w:val="20"/>
                <w:szCs w:val="20"/>
              </w:rPr>
              <w:t xml:space="preserve">are being given on lease and </w:t>
            </w:r>
            <w:proofErr w:type="spellStart"/>
            <w:r w:rsidRPr="00754DB5">
              <w:rPr>
                <w:sz w:val="20"/>
                <w:szCs w:val="20"/>
              </w:rPr>
              <w:t>patta</w:t>
            </w:r>
            <w:proofErr w:type="spellEnd"/>
            <w:r w:rsidRPr="00754DB5">
              <w:rPr>
                <w:sz w:val="20"/>
                <w:szCs w:val="20"/>
              </w:rPr>
              <w:t xml:space="preserve"> system to the registered PFCS or </w:t>
            </w:r>
            <w:proofErr w:type="spellStart"/>
            <w:r w:rsidRPr="00754DB5">
              <w:rPr>
                <w:sz w:val="20"/>
                <w:szCs w:val="20"/>
              </w:rPr>
              <w:t>tribals</w:t>
            </w:r>
            <w:proofErr w:type="spellEnd"/>
            <w:r w:rsidRPr="00754DB5">
              <w:rPr>
                <w:sz w:val="20"/>
                <w:szCs w:val="20"/>
              </w:rPr>
              <w:t xml:space="preserve"> (traditional rights of </w:t>
            </w:r>
            <w:proofErr w:type="spellStart"/>
            <w:r w:rsidRPr="00754DB5">
              <w:rPr>
                <w:sz w:val="20"/>
                <w:szCs w:val="20"/>
              </w:rPr>
              <w:t>tribals</w:t>
            </w:r>
            <w:proofErr w:type="spellEnd"/>
            <w:r w:rsidRPr="00754DB5">
              <w:rPr>
                <w:sz w:val="20"/>
                <w:szCs w:val="20"/>
              </w:rPr>
              <w:t xml:space="preserve"> in notified agency areas in districts of </w:t>
            </w:r>
            <w:proofErr w:type="spellStart"/>
            <w:r w:rsidRPr="00754DB5">
              <w:rPr>
                <w:sz w:val="20"/>
                <w:szCs w:val="20"/>
              </w:rPr>
              <w:t>Adilabad</w:t>
            </w:r>
            <w:proofErr w:type="spellEnd"/>
            <w:r w:rsidRPr="00754DB5">
              <w:rPr>
                <w:sz w:val="20"/>
                <w:szCs w:val="20"/>
              </w:rPr>
              <w:t xml:space="preserve">, </w:t>
            </w:r>
            <w:proofErr w:type="spellStart"/>
            <w:r w:rsidRPr="00754DB5">
              <w:rPr>
                <w:sz w:val="20"/>
                <w:szCs w:val="20"/>
              </w:rPr>
              <w:t>Bhadradri</w:t>
            </w:r>
            <w:proofErr w:type="spellEnd"/>
            <w:r w:rsidRPr="00754DB5">
              <w:rPr>
                <w:sz w:val="20"/>
                <w:szCs w:val="20"/>
              </w:rPr>
              <w:t xml:space="preserve">, </w:t>
            </w:r>
            <w:proofErr w:type="spellStart"/>
            <w:r w:rsidRPr="00754DB5">
              <w:rPr>
                <w:sz w:val="20"/>
                <w:szCs w:val="20"/>
              </w:rPr>
              <w:t>Khammam</w:t>
            </w:r>
            <w:proofErr w:type="spellEnd"/>
            <w:r w:rsidRPr="00754DB5">
              <w:rPr>
                <w:sz w:val="20"/>
                <w:szCs w:val="20"/>
              </w:rPr>
              <w:t xml:space="preserve">, </w:t>
            </w:r>
            <w:proofErr w:type="spellStart"/>
            <w:r w:rsidRPr="00754DB5">
              <w:rPr>
                <w:sz w:val="20"/>
                <w:szCs w:val="20"/>
              </w:rPr>
              <w:t>Bhupalapalli</w:t>
            </w:r>
            <w:proofErr w:type="spellEnd"/>
            <w:r w:rsidRPr="00754DB5">
              <w:rPr>
                <w:sz w:val="20"/>
                <w:szCs w:val="20"/>
              </w:rPr>
              <w:t xml:space="preserve">, </w:t>
            </w:r>
            <w:proofErr w:type="spellStart"/>
            <w:r w:rsidRPr="00754DB5">
              <w:rPr>
                <w:sz w:val="20"/>
                <w:szCs w:val="20"/>
              </w:rPr>
              <w:t>Mahabubabad</w:t>
            </w:r>
            <w:proofErr w:type="spellEnd"/>
            <w:r w:rsidRPr="00754DB5">
              <w:rPr>
                <w:sz w:val="20"/>
                <w:szCs w:val="20"/>
              </w:rPr>
              <w:t xml:space="preserve"> etc).</w:t>
            </w:r>
          </w:p>
        </w:tc>
      </w:tr>
    </w:tbl>
    <w:p w:rsidR="00646F83" w:rsidRDefault="00512F02" w:rsidP="00DE3F74">
      <w:pPr>
        <w:jc w:val="both"/>
        <w:rPr>
          <w:sz w:val="20"/>
        </w:rPr>
      </w:pPr>
      <w:r w:rsidRPr="00D947E2">
        <w:rPr>
          <w:sz w:val="20"/>
        </w:rPr>
        <w:t xml:space="preserve"> </w:t>
      </w:r>
    </w:p>
    <w:p w:rsidR="00EC37FC" w:rsidRPr="00EC37FC" w:rsidRDefault="00EC37FC" w:rsidP="00EC37FC">
      <w:pPr>
        <w:pStyle w:val="ListParagraph"/>
        <w:numPr>
          <w:ilvl w:val="0"/>
          <w:numId w:val="5"/>
        </w:numPr>
        <w:spacing w:after="0"/>
        <w:ind w:left="567" w:hanging="567"/>
        <w:rPr>
          <w:b/>
          <w:sz w:val="20"/>
          <w:szCs w:val="18"/>
        </w:rPr>
      </w:pPr>
      <w:r w:rsidRPr="00EC37FC">
        <w:rPr>
          <w:b/>
          <w:sz w:val="20"/>
          <w:szCs w:val="18"/>
        </w:rPr>
        <w:t>Summary points on rivers and reservoir resources</w:t>
      </w:r>
    </w:p>
    <w:p w:rsidR="00EC37FC" w:rsidRPr="00EC37FC" w:rsidRDefault="00EC37FC" w:rsidP="00EC37FC">
      <w:pPr>
        <w:spacing w:after="0" w:line="240" w:lineRule="auto"/>
        <w:jc w:val="center"/>
        <w:rPr>
          <w:b/>
          <w:sz w:val="18"/>
          <w:szCs w:val="18"/>
        </w:rPr>
      </w:pPr>
    </w:p>
    <w:p w:rsidR="00EC37FC" w:rsidRPr="00EC37FC" w:rsidRDefault="00EC37FC" w:rsidP="00EC37FC">
      <w:pPr>
        <w:pStyle w:val="ListParagraph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color w:val="000000" w:themeColor="text1"/>
          <w:sz w:val="20"/>
          <w:szCs w:val="18"/>
        </w:rPr>
      </w:pPr>
      <w:r w:rsidRPr="00EC37FC">
        <w:rPr>
          <w:rFonts w:cstheme="minorHAnsi"/>
          <w:sz w:val="20"/>
          <w:szCs w:val="18"/>
        </w:rPr>
        <w:t xml:space="preserve">Rivers account for </w:t>
      </w:r>
      <w:r w:rsidRPr="00EC37FC">
        <w:rPr>
          <w:bCs/>
          <w:sz w:val="20"/>
          <w:szCs w:val="18"/>
        </w:rPr>
        <w:t>1808 km total water spread and t</w:t>
      </w:r>
      <w:r w:rsidRPr="00EC37FC">
        <w:rPr>
          <w:rFonts w:cs="Calibri"/>
          <w:sz w:val="20"/>
          <w:szCs w:val="18"/>
        </w:rPr>
        <w:t xml:space="preserve">he contribution of resource to livelihoods of fishers is recognizable and to total fish production </w:t>
      </w:r>
      <w:r w:rsidRPr="00EC37FC">
        <w:rPr>
          <w:sz w:val="20"/>
          <w:szCs w:val="18"/>
        </w:rPr>
        <w:t xml:space="preserve">of the state is not significant. </w:t>
      </w:r>
    </w:p>
    <w:p w:rsidR="00EC37FC" w:rsidRPr="00EC37FC" w:rsidRDefault="00EC37FC" w:rsidP="00EC37FC">
      <w:pPr>
        <w:pStyle w:val="ListParagraph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color w:val="000000" w:themeColor="text1"/>
          <w:sz w:val="20"/>
          <w:szCs w:val="18"/>
        </w:rPr>
      </w:pPr>
      <w:r w:rsidRPr="00EC37FC">
        <w:rPr>
          <w:rFonts w:eastAsia="Times New Roman" w:cstheme="minorHAnsi"/>
          <w:color w:val="000000" w:themeColor="text1"/>
          <w:sz w:val="20"/>
          <w:szCs w:val="18"/>
        </w:rPr>
        <w:t xml:space="preserve">In TWSA, large reservoirs account for over 64% (134984 ha) followed by medium 22% (47012 ha) and small reservoirs 14% (28014 ha). In numbers, share of small reservoirs is over 71%, medium 20% and large reservoir nearly 9%.  </w:t>
      </w:r>
    </w:p>
    <w:p w:rsidR="00EC37FC" w:rsidRPr="00EC37FC" w:rsidRDefault="00EC37FC" w:rsidP="00EC37FC">
      <w:pPr>
        <w:pStyle w:val="ListParagraph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eastAsia="Times New Roman" w:cstheme="minorHAnsi"/>
          <w:color w:val="000000" w:themeColor="text1"/>
          <w:sz w:val="20"/>
          <w:szCs w:val="18"/>
        </w:rPr>
      </w:pPr>
      <w:r w:rsidRPr="00EC37FC">
        <w:rPr>
          <w:rFonts w:eastAsia="Times New Roman" w:cstheme="minorHAnsi"/>
          <w:color w:val="000000" w:themeColor="text1"/>
          <w:sz w:val="20"/>
          <w:szCs w:val="18"/>
        </w:rPr>
        <w:t xml:space="preserve">The mean area is 14998 ha for large reservoir followed by 2239 ha for medium and 384 ha for small reservoirs respectively.  </w:t>
      </w:r>
    </w:p>
    <w:p w:rsidR="00EC37FC" w:rsidRPr="00EC37FC" w:rsidRDefault="00EC37FC" w:rsidP="00EC37FC">
      <w:pPr>
        <w:pStyle w:val="ListParagraph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jc w:val="both"/>
      </w:pPr>
      <w:r w:rsidRPr="00EC37FC">
        <w:rPr>
          <w:sz w:val="20"/>
          <w:szCs w:val="18"/>
        </w:rPr>
        <w:t>Out of 103 reservoirs, about 17 reservoirs are licensed to fishers and rest are being given on lease to the registered PFCS</w:t>
      </w:r>
      <w:r w:rsidRPr="00EC37FC">
        <w:rPr>
          <w:sz w:val="20"/>
          <w:szCs w:val="20"/>
        </w:rPr>
        <w:t xml:space="preserve">. </w:t>
      </w:r>
    </w:p>
    <w:p w:rsidR="00EC37FC" w:rsidRPr="00EC37FC" w:rsidRDefault="00EC37FC" w:rsidP="00DE3F74">
      <w:pPr>
        <w:jc w:val="both"/>
        <w:rPr>
          <w:sz w:val="24"/>
        </w:rPr>
      </w:pPr>
    </w:p>
    <w:sectPr w:rsidR="00EC37FC" w:rsidRPr="00EC37FC" w:rsidSect="00DE3F74">
      <w:footerReference w:type="default" r:id="rId8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F74" w:rsidRDefault="00DE3F74" w:rsidP="00DE3F74">
      <w:pPr>
        <w:spacing w:after="0" w:line="240" w:lineRule="auto"/>
      </w:pPr>
      <w:r>
        <w:separator/>
      </w:r>
    </w:p>
  </w:endnote>
  <w:endnote w:type="continuationSeparator" w:id="0">
    <w:p w:rsidR="00DE3F74" w:rsidRDefault="00DE3F74" w:rsidP="00DE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360995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Content>
          <w:p w:rsidR="00DE3F74" w:rsidRPr="00DE3F74" w:rsidRDefault="00DE3F74">
            <w:pPr>
              <w:pStyle w:val="Footer"/>
              <w:jc w:val="right"/>
              <w:rPr>
                <w:sz w:val="20"/>
                <w:szCs w:val="20"/>
              </w:rPr>
            </w:pPr>
            <w:r w:rsidRPr="00DE3F74">
              <w:rPr>
                <w:sz w:val="20"/>
                <w:szCs w:val="20"/>
              </w:rPr>
              <w:t xml:space="preserve">Page </w:t>
            </w:r>
            <w:r w:rsidR="005513B7" w:rsidRPr="00DE3F74">
              <w:rPr>
                <w:b/>
                <w:sz w:val="20"/>
                <w:szCs w:val="20"/>
              </w:rPr>
              <w:fldChar w:fldCharType="begin"/>
            </w:r>
            <w:r w:rsidRPr="00DE3F74">
              <w:rPr>
                <w:b/>
                <w:sz w:val="20"/>
                <w:szCs w:val="20"/>
              </w:rPr>
              <w:instrText xml:space="preserve"> PAGE </w:instrText>
            </w:r>
            <w:r w:rsidR="005513B7" w:rsidRPr="00DE3F74">
              <w:rPr>
                <w:b/>
                <w:sz w:val="20"/>
                <w:szCs w:val="20"/>
              </w:rPr>
              <w:fldChar w:fldCharType="separate"/>
            </w:r>
            <w:r w:rsidR="008D13A1">
              <w:rPr>
                <w:b/>
                <w:noProof/>
                <w:sz w:val="20"/>
                <w:szCs w:val="20"/>
              </w:rPr>
              <w:t>1</w:t>
            </w:r>
            <w:r w:rsidR="005513B7" w:rsidRPr="00DE3F74">
              <w:rPr>
                <w:b/>
                <w:sz w:val="20"/>
                <w:szCs w:val="20"/>
              </w:rPr>
              <w:fldChar w:fldCharType="end"/>
            </w:r>
            <w:r w:rsidRPr="00DE3F74">
              <w:rPr>
                <w:sz w:val="20"/>
                <w:szCs w:val="20"/>
              </w:rPr>
              <w:t xml:space="preserve"> of </w:t>
            </w:r>
            <w:r w:rsidR="005513B7" w:rsidRPr="00DE3F74">
              <w:rPr>
                <w:b/>
                <w:sz w:val="20"/>
                <w:szCs w:val="20"/>
              </w:rPr>
              <w:fldChar w:fldCharType="begin"/>
            </w:r>
            <w:r w:rsidRPr="00DE3F74">
              <w:rPr>
                <w:b/>
                <w:sz w:val="20"/>
                <w:szCs w:val="20"/>
              </w:rPr>
              <w:instrText xml:space="preserve"> NUMPAGES  </w:instrText>
            </w:r>
            <w:r w:rsidR="005513B7" w:rsidRPr="00DE3F74">
              <w:rPr>
                <w:b/>
                <w:sz w:val="20"/>
                <w:szCs w:val="20"/>
              </w:rPr>
              <w:fldChar w:fldCharType="separate"/>
            </w:r>
            <w:r w:rsidR="008D13A1">
              <w:rPr>
                <w:b/>
                <w:noProof/>
                <w:sz w:val="20"/>
                <w:szCs w:val="20"/>
              </w:rPr>
              <w:t>2</w:t>
            </w:r>
            <w:r w:rsidR="005513B7" w:rsidRPr="00DE3F74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DE3F74" w:rsidRDefault="00DE3F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F74" w:rsidRDefault="00DE3F74" w:rsidP="00DE3F74">
      <w:pPr>
        <w:spacing w:after="0" w:line="240" w:lineRule="auto"/>
      </w:pPr>
      <w:r>
        <w:separator/>
      </w:r>
    </w:p>
  </w:footnote>
  <w:footnote w:type="continuationSeparator" w:id="0">
    <w:p w:rsidR="00DE3F74" w:rsidRDefault="00DE3F74" w:rsidP="00DE3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422"/>
    <w:multiLevelType w:val="hybridMultilevel"/>
    <w:tmpl w:val="7A4C19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904AE"/>
    <w:multiLevelType w:val="hybridMultilevel"/>
    <w:tmpl w:val="6E68E4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E358E"/>
    <w:multiLevelType w:val="hybridMultilevel"/>
    <w:tmpl w:val="8826990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75A0C"/>
    <w:multiLevelType w:val="hybridMultilevel"/>
    <w:tmpl w:val="6BCAAA5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624E4D"/>
    <w:multiLevelType w:val="hybridMultilevel"/>
    <w:tmpl w:val="3A8C732A"/>
    <w:lvl w:ilvl="0" w:tplc="9A508462">
      <w:start w:val="3"/>
      <w:numFmt w:val="bullet"/>
      <w:lvlText w:val=""/>
      <w:lvlJc w:val="left"/>
      <w:pPr>
        <w:ind w:left="720" w:hanging="360"/>
      </w:pPr>
      <w:rPr>
        <w:rFonts w:ascii="Wingdings 2" w:eastAsiaTheme="minorEastAsia" w:hAnsi="Wingdings 2" w:cstheme="minorBidi" w:hint="default"/>
        <w:sz w:val="2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F02"/>
    <w:rsid w:val="0004510F"/>
    <w:rsid w:val="00211D74"/>
    <w:rsid w:val="0029610C"/>
    <w:rsid w:val="0036583F"/>
    <w:rsid w:val="00512F02"/>
    <w:rsid w:val="005513B7"/>
    <w:rsid w:val="005F322A"/>
    <w:rsid w:val="00646F83"/>
    <w:rsid w:val="008D13A1"/>
    <w:rsid w:val="00AB595A"/>
    <w:rsid w:val="00DE3F74"/>
    <w:rsid w:val="00E34FF6"/>
    <w:rsid w:val="00EC3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F0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2F02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512F0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12F02"/>
    <w:rPr>
      <w:rFonts w:eastAsiaTheme="minorEastAsia"/>
      <w:lang w:val="en-IN" w:eastAsia="en-IN"/>
    </w:rPr>
  </w:style>
  <w:style w:type="paragraph" w:styleId="Header">
    <w:name w:val="header"/>
    <w:basedOn w:val="Normal"/>
    <w:link w:val="HeaderChar"/>
    <w:uiPriority w:val="99"/>
    <w:semiHidden/>
    <w:unhideWhenUsed/>
    <w:rsid w:val="00DE3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F7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E3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F7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griserver\g\agri\others\28.Studies%20and%20assignments\102-17-%20Fisheries%20study%20-%20Telangana\Draft%20%20Report\Graphs%20-%20Reservoir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lang="en-US" sz="900"/>
            </a:pPr>
            <a:r>
              <a:rPr lang="en-US" sz="900"/>
              <a:t>Reservoir resource (%) category wise </a:t>
            </a:r>
            <a:r>
              <a:rPr lang="en-US" sz="900" baseline="0"/>
              <a:t>                Study dist. </a:t>
            </a:r>
            <a:endParaRPr lang="en-US" sz="900"/>
          </a:p>
        </c:rich>
      </c:tx>
      <c:layout>
        <c:manualLayout>
          <c:xMode val="edge"/>
          <c:yMode val="edge"/>
          <c:x val="0.17926509186351741"/>
          <c:y val="3.86874175939287E-3"/>
        </c:manualLayout>
      </c:layout>
    </c:title>
    <c:plotArea>
      <c:layout>
        <c:manualLayout>
          <c:layoutTarget val="inner"/>
          <c:xMode val="edge"/>
          <c:yMode val="edge"/>
          <c:x val="0.2049845776577198"/>
          <c:y val="0.16948775769226535"/>
          <c:w val="0.6190631645496868"/>
          <c:h val="0.79635355439723376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18521069110735214"/>
                  <c:y val="-0.12992286444543791"/>
                </c:manualLayout>
              </c:layout>
              <c:tx>
                <c:rich>
                  <a:bodyPr/>
                  <a:lstStyle/>
                  <a:p>
                    <a:pPr>
                      <a:defRPr lang="en-US" sz="900" b="0">
                        <a:solidFill>
                          <a:schemeClr val="bg1"/>
                        </a:solidFill>
                      </a:defRPr>
                    </a:pPr>
                    <a:r>
                      <a:rPr lang="en-IN"/>
                      <a:t>Small 
76%</a:t>
                    </a:r>
                  </a:p>
                </c:rich>
              </c:tx>
              <c:spPr/>
              <c:showCatName val="1"/>
              <c:showPercent val="1"/>
            </c:dLbl>
            <c:dLbl>
              <c:idx val="1"/>
              <c:layout>
                <c:manualLayout>
                  <c:x val="0.1636016237520149"/>
                  <c:y val="0.10843218833453679"/>
                </c:manualLayout>
              </c:layout>
              <c:tx>
                <c:rich>
                  <a:bodyPr/>
                  <a:lstStyle/>
                  <a:p>
                    <a:pPr>
                      <a:defRPr lang="en-US" sz="800" b="0">
                        <a:solidFill>
                          <a:schemeClr val="bg1"/>
                        </a:solidFill>
                      </a:defRPr>
                    </a:pPr>
                    <a:r>
                      <a:rPr lang="en-IN"/>
                      <a:t>Medium 
14%</a:t>
                    </a:r>
                  </a:p>
                </c:rich>
              </c:tx>
              <c:spPr/>
              <c:showCatName val="1"/>
              <c:showPercent val="1"/>
            </c:dLbl>
            <c:dLbl>
              <c:idx val="2"/>
              <c:layout>
                <c:manualLayout>
                  <c:x val="8.2956849043387362E-2"/>
                  <c:y val="0.17263372646104827"/>
                </c:manualLayout>
              </c:layout>
              <c:spPr/>
              <c:txPr>
                <a:bodyPr/>
                <a:lstStyle/>
                <a:p>
                  <a:pPr>
                    <a:defRPr lang="en-US" sz="800" b="0"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showCatName val="1"/>
              <c:showPercent val="1"/>
            </c:dLbl>
            <c:txPr>
              <a:bodyPr/>
              <a:lstStyle/>
              <a:p>
                <a:pPr>
                  <a:defRPr lang="en-US" sz="900" b="0"/>
                </a:pPr>
                <a:endParaRPr lang="en-US"/>
              </a:p>
            </c:txPr>
            <c:showCatName val="1"/>
            <c:showPercent val="1"/>
            <c:showLeaderLines val="1"/>
          </c:dLbls>
          <c:cat>
            <c:strRef>
              <c:f>'Category '!$C$29:$C$31</c:f>
              <c:strCache>
                <c:ptCount val="3"/>
                <c:pt idx="0">
                  <c:v>Small </c:v>
                </c:pt>
                <c:pt idx="1">
                  <c:v>Medium </c:v>
                </c:pt>
                <c:pt idx="2">
                  <c:v>Large </c:v>
                </c:pt>
              </c:strCache>
            </c:strRef>
          </c:cat>
          <c:val>
            <c:numRef>
              <c:f>'Category '!$D$29:$D$31</c:f>
              <c:numCache>
                <c:formatCode>General</c:formatCode>
                <c:ptCount val="3"/>
                <c:pt idx="0">
                  <c:v>15</c:v>
                </c:pt>
                <c:pt idx="1">
                  <c:v>3</c:v>
                </c:pt>
                <c:pt idx="2">
                  <c:v>2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Agri7</cp:lastModifiedBy>
  <cp:revision>8</cp:revision>
  <dcterms:created xsi:type="dcterms:W3CDTF">2018-02-12T06:17:00Z</dcterms:created>
  <dcterms:modified xsi:type="dcterms:W3CDTF">2018-03-06T09:49:00Z</dcterms:modified>
</cp:coreProperties>
</file>