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0C" w:rsidRDefault="001649F1" w:rsidP="0050690C">
      <w:pPr>
        <w:pStyle w:val="ListParagraph"/>
        <w:autoSpaceDE w:val="0"/>
        <w:autoSpaceDN w:val="0"/>
        <w:adjustRightInd w:val="0"/>
        <w:spacing w:after="0"/>
        <w:ind w:left="1080"/>
        <w:rPr>
          <w:b/>
          <w:sz w:val="28"/>
          <w:szCs w:val="28"/>
        </w:rPr>
      </w:pPr>
      <w:r w:rsidRPr="001649F1">
        <w:rPr>
          <w:rFonts w:cstheme="minorHAnsi"/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2.5pt;margin-top:-35.25pt;width:75.75pt;height:21.05pt;z-index:251660288" strokecolor="#943634 [2405]" strokeweight="1.5pt">
            <v:textbox style="mso-next-textbox:#_x0000_s1027">
              <w:txbxContent>
                <w:p w:rsidR="0050690C" w:rsidRPr="00993AE9" w:rsidRDefault="0050690C" w:rsidP="0050690C">
                  <w:pPr>
                    <w:jc w:val="center"/>
                    <w:rPr>
                      <w:b/>
                    </w:rPr>
                  </w:pPr>
                  <w:r w:rsidRPr="00993AE9">
                    <w:rPr>
                      <w:b/>
                    </w:rPr>
                    <w:t xml:space="preserve">ANN – </w:t>
                  </w:r>
                  <w:r>
                    <w:rPr>
                      <w:b/>
                    </w:rPr>
                    <w:t>5</w:t>
                  </w:r>
                  <w:r w:rsidRPr="00993AE9">
                    <w:rPr>
                      <w:b/>
                    </w:rPr>
                    <w:t>.</w:t>
                  </w:r>
                  <w:r>
                    <w:rPr>
                      <w:b/>
                    </w:rPr>
                    <w:t>1</w:t>
                  </w:r>
                  <w:r w:rsidR="00C13153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="0050690C" w:rsidRPr="00993AE9">
        <w:rPr>
          <w:b/>
          <w:sz w:val="28"/>
          <w:szCs w:val="28"/>
        </w:rPr>
        <w:t xml:space="preserve">Baseline study for Fisheries Development in </w:t>
      </w:r>
      <w:proofErr w:type="spellStart"/>
      <w:r w:rsidR="0050690C" w:rsidRPr="00993AE9">
        <w:rPr>
          <w:b/>
          <w:sz w:val="28"/>
          <w:szCs w:val="28"/>
        </w:rPr>
        <w:t>Telangana</w:t>
      </w:r>
      <w:proofErr w:type="spellEnd"/>
      <w:r w:rsidR="0050690C" w:rsidRPr="00993AE9">
        <w:rPr>
          <w:b/>
          <w:sz w:val="28"/>
          <w:szCs w:val="28"/>
        </w:rPr>
        <w:t xml:space="preserve"> state</w:t>
      </w:r>
    </w:p>
    <w:p w:rsidR="0050690C" w:rsidRPr="0050690C" w:rsidRDefault="0050690C" w:rsidP="0050690C">
      <w:pPr>
        <w:pStyle w:val="ListParagraph"/>
        <w:autoSpaceDE w:val="0"/>
        <w:autoSpaceDN w:val="0"/>
        <w:adjustRightInd w:val="0"/>
        <w:spacing w:after="0"/>
        <w:ind w:left="1080"/>
        <w:rPr>
          <w:rFonts w:cstheme="minorHAnsi"/>
          <w:b/>
          <w:sz w:val="14"/>
          <w:szCs w:val="28"/>
        </w:rPr>
      </w:pPr>
    </w:p>
    <w:p w:rsidR="00A004AD" w:rsidRPr="0050690C" w:rsidRDefault="00A004AD" w:rsidP="0050690C">
      <w:pPr>
        <w:spacing w:after="0"/>
        <w:jc w:val="center"/>
        <w:rPr>
          <w:rFonts w:cstheme="minorHAnsi"/>
          <w:sz w:val="24"/>
          <w:szCs w:val="24"/>
        </w:rPr>
      </w:pPr>
      <w:r w:rsidRPr="0050690C">
        <w:rPr>
          <w:rFonts w:cstheme="minorHAnsi"/>
          <w:b/>
          <w:szCs w:val="20"/>
        </w:rPr>
        <w:tab/>
      </w:r>
      <w:r w:rsidRPr="0050690C">
        <w:rPr>
          <w:rFonts w:cstheme="minorHAnsi"/>
          <w:sz w:val="24"/>
          <w:szCs w:val="24"/>
        </w:rPr>
        <w:t xml:space="preserve">Per capita resource </w:t>
      </w:r>
      <w:r w:rsidR="0050690C" w:rsidRPr="0050690C">
        <w:rPr>
          <w:rFonts w:cstheme="minorHAnsi"/>
          <w:sz w:val="24"/>
          <w:szCs w:val="24"/>
        </w:rPr>
        <w:t xml:space="preserve">availability </w:t>
      </w:r>
    </w:p>
    <w:p w:rsidR="0050690C" w:rsidRDefault="0050690C" w:rsidP="004A74B9">
      <w:pPr>
        <w:spacing w:after="0" w:line="240" w:lineRule="auto"/>
        <w:jc w:val="right"/>
        <w:rPr>
          <w:rFonts w:eastAsia="Times New Roman" w:cstheme="minorHAnsi"/>
          <w:color w:val="000000"/>
          <w:sz w:val="18"/>
          <w:szCs w:val="20"/>
          <w:lang w:eastAsia="en-IN"/>
        </w:rPr>
      </w:pPr>
      <w:r>
        <w:rPr>
          <w:rFonts w:eastAsia="Times New Roman" w:cstheme="minorHAnsi"/>
          <w:color w:val="000000"/>
          <w:sz w:val="18"/>
          <w:szCs w:val="20"/>
          <w:lang w:eastAsia="en-IN"/>
        </w:rPr>
        <w:t xml:space="preserve">   </w:t>
      </w:r>
    </w:p>
    <w:p w:rsidR="004A74B9" w:rsidRPr="00C3265A" w:rsidRDefault="004A74B9" w:rsidP="004A74B9">
      <w:pPr>
        <w:spacing w:after="0" w:line="240" w:lineRule="auto"/>
        <w:jc w:val="right"/>
        <w:rPr>
          <w:rFonts w:cstheme="minorHAnsi"/>
          <w:sz w:val="18"/>
          <w:szCs w:val="20"/>
        </w:rPr>
      </w:pPr>
      <w:r w:rsidRPr="00C3265A">
        <w:rPr>
          <w:rFonts w:eastAsia="Times New Roman" w:cstheme="minorHAnsi"/>
          <w:color w:val="000000"/>
          <w:sz w:val="18"/>
          <w:szCs w:val="20"/>
          <w:lang w:eastAsia="en-IN"/>
        </w:rPr>
        <w:t>(Area in ha)</w:t>
      </w:r>
    </w:p>
    <w:tbl>
      <w:tblPr>
        <w:tblW w:w="4966" w:type="pct"/>
        <w:tblBorders>
          <w:top w:val="dotted" w:sz="4" w:space="0" w:color="808080" w:themeColor="background1" w:themeShade="80"/>
          <w:bottom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10"/>
        <w:gridCol w:w="2814"/>
        <w:gridCol w:w="771"/>
        <w:gridCol w:w="934"/>
        <w:gridCol w:w="852"/>
        <w:gridCol w:w="991"/>
        <w:gridCol w:w="1135"/>
        <w:gridCol w:w="1272"/>
      </w:tblGrid>
      <w:tr w:rsidR="004A74B9" w:rsidRPr="00C3265A" w:rsidTr="00C96AA9">
        <w:trPr>
          <w:trHeight w:val="86"/>
        </w:trPr>
        <w:tc>
          <w:tcPr>
            <w:tcW w:w="223" w:type="pct"/>
            <w:vMerge w:val="restart"/>
            <w:tcBorders>
              <w:top w:val="single" w:sz="18" w:space="0" w:color="808080" w:themeColor="background1" w:themeShade="80"/>
            </w:tcBorders>
            <w:shd w:val="clear" w:color="000000" w:fill="D8D8D8"/>
            <w:noWrap/>
            <w:vAlign w:val="bottom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533" w:type="pct"/>
            <w:vMerge w:val="restart"/>
            <w:tcBorders>
              <w:top w:val="single" w:sz="18" w:space="0" w:color="808080" w:themeColor="background1" w:themeShade="80"/>
            </w:tcBorders>
            <w:shd w:val="clear" w:color="000000" w:fill="D8D8D8"/>
            <w:noWrap/>
            <w:vAlign w:val="bottom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29" w:type="pct"/>
            <w:gridSpan w:val="2"/>
            <w:tcBorders>
              <w:top w:val="single" w:sz="18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Reservoirs</w:t>
            </w:r>
          </w:p>
        </w:tc>
        <w:tc>
          <w:tcPr>
            <w:tcW w:w="1004" w:type="pct"/>
            <w:gridSpan w:val="2"/>
            <w:tcBorders>
              <w:top w:val="single" w:sz="18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Tanks</w:t>
            </w:r>
          </w:p>
        </w:tc>
        <w:tc>
          <w:tcPr>
            <w:tcW w:w="1311" w:type="pct"/>
            <w:gridSpan w:val="2"/>
            <w:tcBorders>
              <w:top w:val="single" w:sz="18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Total</w:t>
            </w:r>
          </w:p>
        </w:tc>
      </w:tr>
      <w:tr w:rsidR="004A74B9" w:rsidRPr="00C3265A" w:rsidTr="00C96AA9">
        <w:trPr>
          <w:trHeight w:val="145"/>
        </w:trPr>
        <w:tc>
          <w:tcPr>
            <w:tcW w:w="223" w:type="pct"/>
            <w:vMerge/>
            <w:tcBorders>
              <w:bottom w:val="dotted" w:sz="4" w:space="0" w:color="808080" w:themeColor="background1" w:themeShade="80"/>
            </w:tcBorders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533" w:type="pct"/>
            <w:vMerge/>
            <w:tcBorders>
              <w:bottom w:val="dotted" w:sz="4" w:space="0" w:color="808080" w:themeColor="background1" w:themeShade="80"/>
            </w:tcBorders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420" w:type="pct"/>
            <w:tcBorders>
              <w:bottom w:val="dotted" w:sz="4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TWSA</w:t>
            </w:r>
          </w:p>
        </w:tc>
        <w:tc>
          <w:tcPr>
            <w:tcW w:w="509" w:type="pct"/>
            <w:tcBorders>
              <w:bottom w:val="dotted" w:sz="4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EWSA</w:t>
            </w:r>
          </w:p>
        </w:tc>
        <w:tc>
          <w:tcPr>
            <w:tcW w:w="464" w:type="pct"/>
            <w:tcBorders>
              <w:bottom w:val="dotted" w:sz="4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TWSA</w:t>
            </w:r>
          </w:p>
        </w:tc>
        <w:tc>
          <w:tcPr>
            <w:tcW w:w="540" w:type="pct"/>
            <w:tcBorders>
              <w:bottom w:val="dotted" w:sz="4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EWSA</w:t>
            </w:r>
          </w:p>
        </w:tc>
        <w:tc>
          <w:tcPr>
            <w:tcW w:w="618" w:type="pct"/>
            <w:tcBorders>
              <w:bottom w:val="dotted" w:sz="4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TWSA</w:t>
            </w:r>
          </w:p>
        </w:tc>
        <w:tc>
          <w:tcPr>
            <w:tcW w:w="693" w:type="pct"/>
            <w:tcBorders>
              <w:bottom w:val="dotted" w:sz="4" w:space="0" w:color="808080" w:themeColor="background1" w:themeShade="80"/>
            </w:tcBorders>
            <w:shd w:val="clear" w:color="000000" w:fill="D8D8D8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EWSA</w:t>
            </w:r>
          </w:p>
        </w:tc>
      </w:tr>
      <w:tr w:rsidR="004A74B9" w:rsidRPr="00C3265A" w:rsidTr="00C96AA9">
        <w:trPr>
          <w:trHeight w:val="64"/>
        </w:trPr>
        <w:tc>
          <w:tcPr>
            <w:tcW w:w="223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4A74B9">
            <w:pPr>
              <w:pStyle w:val="ListParagraph"/>
              <w:numPr>
                <w:ilvl w:val="8"/>
                <w:numId w:val="15"/>
              </w:numPr>
              <w:spacing w:after="0"/>
              <w:jc w:val="both"/>
              <w:rPr>
                <w:rFonts w:eastAsia="Times New Roman" w:cstheme="minorHAns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53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0"/>
                <w:szCs w:val="10"/>
                <w:lang w:eastAsia="en-IN"/>
              </w:rPr>
            </w:pPr>
          </w:p>
        </w:tc>
        <w:tc>
          <w:tcPr>
            <w:tcW w:w="42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0"/>
                <w:szCs w:val="10"/>
                <w:lang w:eastAsia="en-IN"/>
              </w:rPr>
            </w:pPr>
          </w:p>
        </w:tc>
        <w:tc>
          <w:tcPr>
            <w:tcW w:w="50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0"/>
                <w:szCs w:val="10"/>
                <w:lang w:eastAsia="en-IN"/>
              </w:rPr>
            </w:pPr>
          </w:p>
        </w:tc>
        <w:tc>
          <w:tcPr>
            <w:tcW w:w="46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0"/>
                <w:szCs w:val="10"/>
                <w:lang w:eastAsia="en-IN"/>
              </w:rPr>
            </w:pPr>
          </w:p>
        </w:tc>
        <w:tc>
          <w:tcPr>
            <w:tcW w:w="5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0"/>
                <w:szCs w:val="10"/>
                <w:lang w:eastAsia="en-IN"/>
              </w:rPr>
            </w:pPr>
          </w:p>
        </w:tc>
        <w:tc>
          <w:tcPr>
            <w:tcW w:w="618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color w:val="000000"/>
                <w:sz w:val="10"/>
                <w:szCs w:val="10"/>
                <w:lang w:eastAsia="en-IN"/>
              </w:rPr>
            </w:pPr>
          </w:p>
        </w:tc>
        <w:tc>
          <w:tcPr>
            <w:tcW w:w="693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color w:val="000000"/>
                <w:sz w:val="10"/>
                <w:szCs w:val="10"/>
                <w:lang w:eastAsia="en-IN"/>
              </w:rPr>
            </w:pPr>
          </w:p>
        </w:tc>
      </w:tr>
      <w:tr w:rsidR="004A74B9" w:rsidRPr="00C3265A" w:rsidTr="00C96AA9">
        <w:trPr>
          <w:trHeight w:val="234"/>
        </w:trPr>
        <w:tc>
          <w:tcPr>
            <w:tcW w:w="223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4A74B9">
            <w:pPr>
              <w:pStyle w:val="ListParagraph"/>
              <w:numPr>
                <w:ilvl w:val="8"/>
                <w:numId w:val="15"/>
              </w:numPr>
              <w:spacing w:after="0"/>
              <w:jc w:val="both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Lease system</w:t>
            </w:r>
          </w:p>
        </w:tc>
        <w:tc>
          <w:tcPr>
            <w:tcW w:w="420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509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464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40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C96AA9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18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693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</w:tr>
      <w:tr w:rsidR="00732AAA" w:rsidRPr="00C3265A" w:rsidTr="00C96AA9">
        <w:trPr>
          <w:trHeight w:val="269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53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 xml:space="preserve">FCS per capita 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120.98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56.71</w:t>
            </w:r>
          </w:p>
        </w:tc>
        <w:tc>
          <w:tcPr>
            <w:tcW w:w="618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527.24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361.41</w:t>
            </w:r>
          </w:p>
        </w:tc>
      </w:tr>
      <w:tr w:rsidR="00732AAA" w:rsidRPr="00C3265A" w:rsidTr="00C96AA9">
        <w:trPr>
          <w:trHeight w:val="259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53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 xml:space="preserve">FCS member per capita 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2.07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618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2.41</w:t>
            </w:r>
          </w:p>
        </w:tc>
      </w:tr>
      <w:tr w:rsidR="004A74B9" w:rsidRPr="00C3265A" w:rsidTr="00C96AA9">
        <w:trPr>
          <w:trHeight w:val="277"/>
        </w:trPr>
        <w:tc>
          <w:tcPr>
            <w:tcW w:w="223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 xml:space="preserve">License  system </w:t>
            </w:r>
          </w:p>
        </w:tc>
        <w:tc>
          <w:tcPr>
            <w:tcW w:w="420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09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464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40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18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693" w:type="pct"/>
            <w:shd w:val="clear" w:color="auto" w:fill="D9D9D9" w:themeFill="background1" w:themeFillShade="D9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</w:tr>
      <w:tr w:rsidR="004A74B9" w:rsidRPr="00C3265A" w:rsidTr="00C96AA9">
        <w:trPr>
          <w:trHeight w:val="281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533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 xml:space="preserve">Licensee per capita 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4A74B9" w:rsidRPr="00C3265A" w:rsidRDefault="004A74B9" w:rsidP="00732A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</w:p>
        </w:tc>
      </w:tr>
      <w:tr w:rsidR="00732AAA" w:rsidRPr="00C3265A" w:rsidTr="00C96AA9">
        <w:trPr>
          <w:trHeight w:val="271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53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 xml:space="preserve">Existing 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10.84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10.84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8.13</w:t>
            </w:r>
          </w:p>
        </w:tc>
      </w:tr>
      <w:tr w:rsidR="00732AAA" w:rsidRPr="00C3265A" w:rsidTr="00C96AA9">
        <w:trPr>
          <w:trHeight w:val="275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533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Targeted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8.23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8.23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6.17</w:t>
            </w:r>
          </w:p>
        </w:tc>
      </w:tr>
      <w:tr w:rsidR="00732AAA" w:rsidRPr="00685BC1" w:rsidTr="00C96AA9">
        <w:trPr>
          <w:trHeight w:val="279"/>
        </w:trPr>
        <w:tc>
          <w:tcPr>
            <w:tcW w:w="223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533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 xml:space="preserve">Overall total Fishermen per capita </w:t>
            </w:r>
          </w:p>
        </w:tc>
        <w:tc>
          <w:tcPr>
            <w:tcW w:w="420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509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Pr="00C3265A" w:rsidRDefault="00732AAA" w:rsidP="00732AA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C3265A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464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540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618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693" w:type="pct"/>
            <w:tcBorders>
              <w:bottom w:val="single" w:sz="18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732AAA" w:rsidRDefault="00732AAA" w:rsidP="00732AA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</w:t>
            </w:r>
          </w:p>
        </w:tc>
      </w:tr>
    </w:tbl>
    <w:p w:rsidR="004A74B9" w:rsidRDefault="004A74B9" w:rsidP="00732AAA">
      <w:pPr>
        <w:spacing w:after="0"/>
        <w:rPr>
          <w:rFonts w:cstheme="minorHAnsi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6181"/>
        <w:tblW w:w="0" w:type="auto"/>
        <w:tblBorders>
          <w:top w:val="single" w:sz="12" w:space="0" w:color="BFBFBF" w:themeColor="background1" w:themeShade="BF"/>
          <w:left w:val="none" w:sz="0" w:space="0" w:color="auto"/>
          <w:bottom w:val="single" w:sz="12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4A74B9" w:rsidRPr="005E4ECE" w:rsidTr="004A74B9">
        <w:trPr>
          <w:trHeight w:val="1800"/>
        </w:trPr>
        <w:tc>
          <w:tcPr>
            <w:tcW w:w="9242" w:type="dxa"/>
            <w:shd w:val="thinReverseDiagStripe" w:color="D9D9D9" w:themeColor="background1" w:themeShade="D9" w:fill="auto"/>
            <w:vAlign w:val="center"/>
          </w:tcPr>
          <w:p w:rsidR="004A74B9" w:rsidRPr="00C3265A" w:rsidRDefault="004A74B9" w:rsidP="004A74B9">
            <w:pPr>
              <w:rPr>
                <w:b/>
                <w:sz w:val="20"/>
                <w:szCs w:val="20"/>
              </w:rPr>
            </w:pPr>
            <w:r w:rsidRPr="00C3265A">
              <w:rPr>
                <w:b/>
                <w:sz w:val="20"/>
                <w:szCs w:val="20"/>
              </w:rPr>
              <w:t>Reservoir resources- on lease system</w:t>
            </w:r>
          </w:p>
          <w:p w:rsidR="004A74B9" w:rsidRDefault="004A74B9" w:rsidP="004A74B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C3265A">
              <w:rPr>
                <w:sz w:val="20"/>
                <w:szCs w:val="20"/>
              </w:rPr>
              <w:t>Overall av.</w:t>
            </w:r>
            <w:r>
              <w:rPr>
                <w:sz w:val="20"/>
                <w:szCs w:val="20"/>
              </w:rPr>
              <w:t xml:space="preserve"> </w:t>
            </w:r>
            <w:r w:rsidRPr="00C3265A">
              <w:rPr>
                <w:sz w:val="20"/>
                <w:szCs w:val="20"/>
              </w:rPr>
              <w:t xml:space="preserve">per capita availability </w:t>
            </w:r>
            <w:r>
              <w:rPr>
                <w:sz w:val="20"/>
                <w:szCs w:val="20"/>
              </w:rPr>
              <w:t>/FCS</w:t>
            </w:r>
            <w:r w:rsidRPr="00C3265A">
              <w:rPr>
                <w:sz w:val="20"/>
                <w:szCs w:val="20"/>
              </w:rPr>
              <w:t xml:space="preserve"> in study districts is 4</w:t>
            </w:r>
            <w:r w:rsidR="00732AAA">
              <w:rPr>
                <w:sz w:val="20"/>
                <w:szCs w:val="20"/>
              </w:rPr>
              <w:t>06</w:t>
            </w:r>
            <w:r w:rsidRPr="00C3265A">
              <w:rPr>
                <w:sz w:val="20"/>
                <w:szCs w:val="20"/>
              </w:rPr>
              <w:t xml:space="preserve"> ha TWSA and 3</w:t>
            </w:r>
            <w:r w:rsidR="00732AAA">
              <w:rPr>
                <w:sz w:val="20"/>
                <w:szCs w:val="20"/>
              </w:rPr>
              <w:t>05</w:t>
            </w:r>
            <w:r w:rsidRPr="00C3265A">
              <w:rPr>
                <w:sz w:val="20"/>
                <w:szCs w:val="20"/>
              </w:rPr>
              <w:t xml:space="preserve"> ha EWSA</w:t>
            </w:r>
            <w:r>
              <w:rPr>
                <w:sz w:val="20"/>
                <w:szCs w:val="20"/>
              </w:rPr>
              <w:t xml:space="preserve"> (</w:t>
            </w:r>
            <w:r w:rsidR="00D81B20">
              <w:rPr>
                <w:sz w:val="20"/>
                <w:szCs w:val="20"/>
              </w:rPr>
              <w:t xml:space="preserve">based on DOF </w:t>
            </w:r>
            <w:r w:rsidRPr="00C3265A">
              <w:rPr>
                <w:sz w:val="20"/>
                <w:szCs w:val="20"/>
              </w:rPr>
              <w:t>assumption of 75% a</w:t>
            </w:r>
            <w:r w:rsidR="00732AAA">
              <w:rPr>
                <w:sz w:val="20"/>
                <w:szCs w:val="20"/>
              </w:rPr>
              <w:t>s EWSA</w:t>
            </w:r>
            <w:r w:rsidR="00D62992">
              <w:rPr>
                <w:sz w:val="20"/>
                <w:szCs w:val="20"/>
              </w:rPr>
              <w:t xml:space="preserve">) </w:t>
            </w:r>
            <w:r w:rsidR="00732AAA">
              <w:rPr>
                <w:sz w:val="20"/>
                <w:szCs w:val="20"/>
              </w:rPr>
              <w:t>and per member was 2.07 ha and EWSA 1.55</w:t>
            </w:r>
            <w:r w:rsidRPr="00C3265A">
              <w:rPr>
                <w:sz w:val="20"/>
                <w:szCs w:val="20"/>
              </w:rPr>
              <w:t xml:space="preserve"> ha respectively. </w:t>
            </w:r>
          </w:p>
          <w:p w:rsidR="004A74B9" w:rsidRPr="00C3265A" w:rsidRDefault="004A74B9" w:rsidP="004A74B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Pr="00C3265A">
              <w:rPr>
                <w:sz w:val="20"/>
                <w:szCs w:val="20"/>
              </w:rPr>
              <w:t xml:space="preserve">availability </w:t>
            </w:r>
            <w:r>
              <w:rPr>
                <w:sz w:val="20"/>
                <w:szCs w:val="20"/>
              </w:rPr>
              <w:t xml:space="preserve">of resource/ member </w:t>
            </w:r>
            <w:r w:rsidR="00D62992">
              <w:rPr>
                <w:sz w:val="20"/>
                <w:szCs w:val="20"/>
              </w:rPr>
              <w:t xml:space="preserve">depends </w:t>
            </w:r>
            <w:r w:rsidRPr="00C3265A">
              <w:rPr>
                <w:sz w:val="20"/>
                <w:szCs w:val="20"/>
              </w:rPr>
              <w:t xml:space="preserve">on the number of members </w:t>
            </w:r>
            <w:r>
              <w:rPr>
                <w:sz w:val="20"/>
                <w:szCs w:val="20"/>
              </w:rPr>
              <w:t xml:space="preserve">in </w:t>
            </w:r>
            <w:r w:rsidRPr="00C3265A">
              <w:rPr>
                <w:sz w:val="20"/>
                <w:szCs w:val="20"/>
              </w:rPr>
              <w:t xml:space="preserve">the FCS.  </w:t>
            </w:r>
          </w:p>
          <w:p w:rsidR="004A74B9" w:rsidRPr="00116481" w:rsidRDefault="004A74B9" w:rsidP="004A74B9">
            <w:pPr>
              <w:rPr>
                <w:b/>
                <w:sz w:val="16"/>
                <w:szCs w:val="20"/>
              </w:rPr>
            </w:pPr>
          </w:p>
          <w:p w:rsidR="004A74B9" w:rsidRDefault="004A74B9" w:rsidP="004A74B9">
            <w:pPr>
              <w:rPr>
                <w:b/>
                <w:sz w:val="20"/>
                <w:szCs w:val="20"/>
              </w:rPr>
            </w:pPr>
            <w:r w:rsidRPr="00C3265A">
              <w:rPr>
                <w:b/>
                <w:sz w:val="20"/>
                <w:szCs w:val="20"/>
              </w:rPr>
              <w:t>Reservoir resources- on License system</w:t>
            </w:r>
          </w:p>
          <w:p w:rsidR="004A74B9" w:rsidRPr="00C3265A" w:rsidRDefault="004A74B9" w:rsidP="004A74B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C3265A">
              <w:rPr>
                <w:sz w:val="20"/>
                <w:szCs w:val="20"/>
              </w:rPr>
              <w:t xml:space="preserve">Av. per capita availability/licensee fisher of </w:t>
            </w:r>
            <w:r>
              <w:rPr>
                <w:sz w:val="20"/>
                <w:szCs w:val="20"/>
              </w:rPr>
              <w:t>study districts was</w:t>
            </w:r>
            <w:r w:rsidR="00732AAA">
              <w:rPr>
                <w:sz w:val="20"/>
                <w:szCs w:val="20"/>
              </w:rPr>
              <w:t xml:space="preserve"> 10.84 ha (EWSA 8.13</w:t>
            </w:r>
            <w:r w:rsidRPr="00C3265A">
              <w:rPr>
                <w:sz w:val="20"/>
                <w:szCs w:val="20"/>
              </w:rPr>
              <w:t xml:space="preserve"> ha).  </w:t>
            </w:r>
          </w:p>
          <w:p w:rsidR="004A74B9" w:rsidRDefault="004A74B9" w:rsidP="004A74B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C3265A">
              <w:rPr>
                <w:sz w:val="20"/>
                <w:szCs w:val="20"/>
              </w:rPr>
              <w:t>Considering the targeted licensees, the availability of resource will decrease to TWSA of 8.23 ha and EWSA of 6.17 ha respectively</w:t>
            </w:r>
            <w:r w:rsidR="00D62992">
              <w:rPr>
                <w:sz w:val="20"/>
                <w:szCs w:val="20"/>
              </w:rPr>
              <w:t>.</w:t>
            </w:r>
            <w:r w:rsidRPr="00C3265A">
              <w:rPr>
                <w:sz w:val="20"/>
                <w:szCs w:val="20"/>
              </w:rPr>
              <w:t xml:space="preserve"> </w:t>
            </w:r>
          </w:p>
          <w:p w:rsidR="00732AAA" w:rsidRDefault="00732AAA" w:rsidP="00732AAA">
            <w:pPr>
              <w:pStyle w:val="ListParagraph"/>
              <w:rPr>
                <w:sz w:val="20"/>
                <w:szCs w:val="20"/>
              </w:rPr>
            </w:pPr>
          </w:p>
          <w:p w:rsidR="004A74B9" w:rsidRDefault="004A74B9" w:rsidP="004A74B9">
            <w:pPr>
              <w:rPr>
                <w:sz w:val="20"/>
                <w:szCs w:val="20"/>
              </w:rPr>
            </w:pPr>
            <w:r w:rsidRPr="00C3265A">
              <w:rPr>
                <w:b/>
                <w:sz w:val="20"/>
                <w:szCs w:val="20"/>
              </w:rPr>
              <w:t>Inference:</w:t>
            </w:r>
            <w:r>
              <w:rPr>
                <w:sz w:val="20"/>
                <w:szCs w:val="20"/>
              </w:rPr>
              <w:t xml:space="preserve"> H</w:t>
            </w:r>
            <w:r w:rsidRPr="00C3265A">
              <w:rPr>
                <w:sz w:val="20"/>
                <w:szCs w:val="20"/>
              </w:rPr>
              <w:t xml:space="preserve">igher per capita availability of reservoir </w:t>
            </w:r>
            <w:r>
              <w:rPr>
                <w:sz w:val="20"/>
                <w:szCs w:val="20"/>
              </w:rPr>
              <w:t xml:space="preserve">resource to licensee fishers </w:t>
            </w:r>
            <w:r w:rsidRPr="00C3265A">
              <w:rPr>
                <w:sz w:val="20"/>
                <w:szCs w:val="20"/>
              </w:rPr>
              <w:t>compared to leased</w:t>
            </w:r>
            <w:r>
              <w:rPr>
                <w:sz w:val="20"/>
                <w:szCs w:val="20"/>
              </w:rPr>
              <w:t xml:space="preserve"> fishers</w:t>
            </w:r>
            <w:r w:rsidRPr="00C3265A">
              <w:rPr>
                <w:sz w:val="20"/>
                <w:szCs w:val="20"/>
              </w:rPr>
              <w:t>.</w:t>
            </w:r>
          </w:p>
          <w:p w:rsidR="00732AAA" w:rsidRPr="00C3265A" w:rsidRDefault="00732AAA" w:rsidP="004A74B9">
            <w:pPr>
              <w:rPr>
                <w:sz w:val="20"/>
                <w:szCs w:val="20"/>
              </w:rPr>
            </w:pPr>
          </w:p>
          <w:p w:rsidR="004A74B9" w:rsidRPr="00C3265A" w:rsidRDefault="004A74B9" w:rsidP="004A74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C3265A">
              <w:rPr>
                <w:b/>
                <w:sz w:val="20"/>
                <w:szCs w:val="20"/>
              </w:rPr>
              <w:t>ank resource</w:t>
            </w:r>
            <w:r>
              <w:rPr>
                <w:b/>
                <w:sz w:val="20"/>
                <w:szCs w:val="20"/>
              </w:rPr>
              <w:t xml:space="preserve">s- on lease system </w:t>
            </w:r>
          </w:p>
          <w:p w:rsidR="004A74B9" w:rsidRPr="007C501F" w:rsidRDefault="004A74B9" w:rsidP="004A74B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Average availability  of  tank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resources / 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FCS  in  respect  of 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study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districts  was  </w:t>
            </w:r>
            <w:r w:rsidR="00732AA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120.98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ha  while  in  respect of  EWSA  it  was  5</w:t>
            </w:r>
            <w:r w:rsidR="00732AA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6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.</w:t>
            </w:r>
            <w:r w:rsidR="00732AA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71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ha.  </w:t>
            </w:r>
          </w:p>
          <w:p w:rsidR="004A74B9" w:rsidRPr="00732AAA" w:rsidRDefault="004A74B9" w:rsidP="004A74B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Av.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availability  in  respect  of  the  state is  at  </w:t>
            </w:r>
            <w:r w:rsidR="009700F7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112.35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ha  of  TWSA  and </w:t>
            </w:r>
            <w:r w:rsidR="009700F7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53.30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ha of  EWSA  and </w:t>
            </w:r>
            <w:r w:rsidR="009700F7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is </w:t>
            </w:r>
            <w:r w:rsidRPr="00C3265A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less  than  the  study  districts.</w:t>
            </w:r>
          </w:p>
          <w:p w:rsidR="004A74B9" w:rsidRPr="00C3265A" w:rsidRDefault="004A74B9" w:rsidP="004A74B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>Estimated  per  capita  availability of tank  resources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>FCS member was  1.8</w:t>
            </w:r>
            <w:r w:rsidR="009700F7">
              <w:rPr>
                <w:rFonts w:eastAsia="Times New Roman" w:cstheme="minorHAnsi"/>
                <w:color w:val="000000"/>
                <w:sz w:val="20"/>
                <w:szCs w:val="20"/>
              </w:rPr>
              <w:t>3  ha TWSA  and 0.86</w:t>
            </w: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ha   of  EWSA respectively  and  was  slightly  higher  than  state  average (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TWSA </w:t>
            </w: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>1.</w:t>
            </w:r>
            <w:r w:rsidR="009700F7">
              <w:rPr>
                <w:rFonts w:eastAsia="Times New Roman" w:cstheme="minorHAnsi"/>
                <w:color w:val="000000"/>
                <w:sz w:val="20"/>
                <w:szCs w:val="20"/>
              </w:rPr>
              <w:t>56</w:t>
            </w: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>ha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EWSA 0.7</w:t>
            </w:r>
            <w:r w:rsidR="009700F7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ha </w:t>
            </w: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>).</w:t>
            </w:r>
          </w:p>
          <w:p w:rsidR="004A74B9" w:rsidRPr="00C3265A" w:rsidRDefault="004A74B9" w:rsidP="004A74B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C501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Per  capita  availability </w:t>
            </w:r>
            <w:r w:rsidRPr="007C501F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/ fishermen households</w:t>
            </w:r>
            <w:r w:rsidRPr="007C501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is meagre  at TWSA 0.18  ha  (less  than  half  an  acre) and EWSA of 0.09 ha and  in  majority of  the  districts,</w:t>
            </w:r>
            <w:r w:rsidRPr="00C3265A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it  was   still  less as against state av. TWSA 0.21 ha and EWSA of 0.1 ha.</w:t>
            </w:r>
          </w:p>
          <w:p w:rsidR="004A74B9" w:rsidRPr="00116481" w:rsidRDefault="004A74B9" w:rsidP="004A74B9">
            <w:pPr>
              <w:jc w:val="both"/>
              <w:rPr>
                <w:rFonts w:cstheme="minorHAnsi"/>
                <w:b/>
                <w:sz w:val="16"/>
                <w:szCs w:val="20"/>
              </w:rPr>
            </w:pPr>
          </w:p>
          <w:p w:rsidR="004A74B9" w:rsidRDefault="004A74B9" w:rsidP="004A74B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C501F">
              <w:rPr>
                <w:rFonts w:cstheme="minorHAnsi"/>
                <w:b/>
                <w:sz w:val="20"/>
                <w:szCs w:val="20"/>
              </w:rPr>
              <w:t xml:space="preserve">Over all resource availability </w:t>
            </w:r>
          </w:p>
          <w:p w:rsidR="004A74B9" w:rsidRPr="00116481" w:rsidRDefault="004A74B9" w:rsidP="004A74B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16481">
              <w:rPr>
                <w:rFonts w:cstheme="minorHAnsi"/>
                <w:sz w:val="20"/>
                <w:szCs w:val="20"/>
              </w:rPr>
              <w:t xml:space="preserve">Per capita availability of both reservoirs and tanks to FCS under lease system is </w:t>
            </w:r>
            <w:r w:rsidR="009700F7">
              <w:rPr>
                <w:rFonts w:cstheme="minorHAnsi"/>
                <w:sz w:val="20"/>
                <w:szCs w:val="20"/>
              </w:rPr>
              <w:t>527 ha and to member it is nearly 3.90</w:t>
            </w:r>
            <w:r w:rsidRPr="00116481">
              <w:rPr>
                <w:rFonts w:cstheme="minorHAnsi"/>
                <w:sz w:val="20"/>
                <w:szCs w:val="20"/>
              </w:rPr>
              <w:t xml:space="preserve"> ha. </w:t>
            </w:r>
          </w:p>
          <w:p w:rsidR="004A74B9" w:rsidRPr="004A74B9" w:rsidRDefault="004A74B9" w:rsidP="004A74B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theme="minorHAnsi"/>
                <w:b/>
                <w:sz w:val="20"/>
              </w:rPr>
            </w:pPr>
            <w:r w:rsidRPr="00AB0B4F">
              <w:rPr>
                <w:rFonts w:cstheme="minorHAnsi"/>
                <w:sz w:val="20"/>
                <w:szCs w:val="20"/>
              </w:rPr>
              <w:t>As license  system of providing access rights for fishing is restricted to only selected reservoirs, the per capita availability/fisher is high (10.84 ha) for the existing licensees and will further reduce  to 8.23 ha with increase of licenses to the fishers as targeted. Th</w:t>
            </w:r>
            <w:r>
              <w:rPr>
                <w:rFonts w:cstheme="minorHAnsi"/>
                <w:sz w:val="20"/>
                <w:szCs w:val="20"/>
              </w:rPr>
              <w:t xml:space="preserve">e overall </w:t>
            </w:r>
            <w:r w:rsidR="00D62992">
              <w:rPr>
                <w:rFonts w:cstheme="minorHAnsi"/>
                <w:sz w:val="20"/>
                <w:szCs w:val="20"/>
              </w:rPr>
              <w:t xml:space="preserve">fishermen </w:t>
            </w:r>
            <w:r w:rsidR="00D62992" w:rsidRPr="00AB0B4F">
              <w:rPr>
                <w:rFonts w:cstheme="minorHAnsi"/>
                <w:sz w:val="20"/>
                <w:szCs w:val="20"/>
              </w:rPr>
              <w:t>per capita are</w:t>
            </w:r>
            <w:r w:rsidRPr="00AB0B4F">
              <w:rPr>
                <w:rFonts w:cstheme="minorHAnsi"/>
                <w:sz w:val="20"/>
                <w:szCs w:val="20"/>
              </w:rPr>
              <w:t xml:space="preserve"> low 0.18 ha.</w:t>
            </w:r>
          </w:p>
          <w:p w:rsidR="004A74B9" w:rsidRPr="005E4ECE" w:rsidRDefault="004A74B9" w:rsidP="004A74B9">
            <w:pPr>
              <w:pStyle w:val="ListParagraph"/>
              <w:jc w:val="both"/>
              <w:rPr>
                <w:rFonts w:cstheme="minorHAnsi"/>
                <w:b/>
                <w:sz w:val="20"/>
              </w:rPr>
            </w:pPr>
          </w:p>
        </w:tc>
      </w:tr>
    </w:tbl>
    <w:p w:rsidR="00C33347" w:rsidRDefault="00C33347" w:rsidP="00732AAA"/>
    <w:sectPr w:rsidR="00C33347" w:rsidSect="00E96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A08"/>
    <w:rsid w:val="000252E7"/>
    <w:rsid w:val="00046D41"/>
    <w:rsid w:val="00047679"/>
    <w:rsid w:val="001649F1"/>
    <w:rsid w:val="00250150"/>
    <w:rsid w:val="00254ECF"/>
    <w:rsid w:val="00353AEE"/>
    <w:rsid w:val="004542A2"/>
    <w:rsid w:val="00497879"/>
    <w:rsid w:val="004A74B9"/>
    <w:rsid w:val="0050690C"/>
    <w:rsid w:val="00593AC7"/>
    <w:rsid w:val="00732AAA"/>
    <w:rsid w:val="00752B70"/>
    <w:rsid w:val="00853FB5"/>
    <w:rsid w:val="008C2D06"/>
    <w:rsid w:val="008E4172"/>
    <w:rsid w:val="009700F7"/>
    <w:rsid w:val="00A004AD"/>
    <w:rsid w:val="00A311A5"/>
    <w:rsid w:val="00A42E34"/>
    <w:rsid w:val="00A75C1A"/>
    <w:rsid w:val="00B8649A"/>
    <w:rsid w:val="00BB6552"/>
    <w:rsid w:val="00C10589"/>
    <w:rsid w:val="00C13153"/>
    <w:rsid w:val="00C33347"/>
    <w:rsid w:val="00C96AA9"/>
    <w:rsid w:val="00CF672D"/>
    <w:rsid w:val="00D0264B"/>
    <w:rsid w:val="00D62992"/>
    <w:rsid w:val="00D62BF7"/>
    <w:rsid w:val="00D73F71"/>
    <w:rsid w:val="00D81B20"/>
    <w:rsid w:val="00E965BE"/>
    <w:rsid w:val="00EC0C30"/>
    <w:rsid w:val="00EE6B93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24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22</cp:revision>
  <dcterms:created xsi:type="dcterms:W3CDTF">2018-02-12T10:19:00Z</dcterms:created>
  <dcterms:modified xsi:type="dcterms:W3CDTF">2018-03-13T15:17:00Z</dcterms:modified>
</cp:coreProperties>
</file>