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B3" w:rsidRPr="00616F2C" w:rsidRDefault="00305115" w:rsidP="006B50B3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4.4pt;margin-top:-35.3pt;width:61.6pt;height:19.35pt;z-index:251660288" strokecolor="#622423 [1605]" strokeweight="1.5pt">
            <v:textbox style="mso-next-textbox:#_x0000_s1026">
              <w:txbxContent>
                <w:p w:rsidR="006B50B3" w:rsidRPr="00A757E2" w:rsidRDefault="006B50B3" w:rsidP="006B50B3">
                  <w:pPr>
                    <w:rPr>
                      <w:b/>
                    </w:rPr>
                  </w:pPr>
                  <w:r w:rsidRPr="00A757E2">
                    <w:rPr>
                      <w:b/>
                    </w:rPr>
                    <w:t>A</w:t>
                  </w:r>
                  <w:r>
                    <w:rPr>
                      <w:b/>
                    </w:rPr>
                    <w:t>NN</w:t>
                  </w:r>
                  <w:r w:rsidRPr="00A757E2">
                    <w:rPr>
                      <w:b/>
                    </w:rPr>
                    <w:t xml:space="preserve">– </w:t>
                  </w:r>
                  <w:r>
                    <w:rPr>
                      <w:b/>
                    </w:rPr>
                    <w:t>4.5</w:t>
                  </w:r>
                </w:p>
              </w:txbxContent>
            </v:textbox>
          </v:shape>
        </w:pict>
      </w:r>
      <w:r w:rsidR="006B50B3">
        <w:rPr>
          <w:rFonts w:cstheme="minorHAnsi"/>
          <w:b/>
          <w:sz w:val="28"/>
          <w:szCs w:val="28"/>
        </w:rPr>
        <w:t xml:space="preserve">Baseline study for Development in </w:t>
      </w:r>
      <w:proofErr w:type="spellStart"/>
      <w:r w:rsidR="006B50B3">
        <w:rPr>
          <w:rFonts w:cstheme="minorHAnsi"/>
          <w:b/>
          <w:sz w:val="28"/>
          <w:szCs w:val="28"/>
        </w:rPr>
        <w:t>Telangana</w:t>
      </w:r>
      <w:proofErr w:type="spellEnd"/>
      <w:r w:rsidR="006B50B3">
        <w:rPr>
          <w:rFonts w:cstheme="minorHAnsi"/>
          <w:b/>
          <w:sz w:val="28"/>
          <w:szCs w:val="28"/>
        </w:rPr>
        <w:t xml:space="preserve"> state</w:t>
      </w:r>
    </w:p>
    <w:p w:rsidR="006B50B3" w:rsidRDefault="006B50B3" w:rsidP="006B50B3">
      <w:pPr>
        <w:jc w:val="center"/>
        <w:rPr>
          <w:rFonts w:eastAsia="Times New Roman" w:cstheme="minorHAnsi"/>
          <w:bCs/>
          <w:sz w:val="24"/>
          <w:szCs w:val="24"/>
        </w:rPr>
      </w:pPr>
      <w:r w:rsidRPr="006B50B3">
        <w:rPr>
          <w:rFonts w:eastAsia="Times New Roman" w:cstheme="minorHAnsi"/>
          <w:bCs/>
          <w:sz w:val="24"/>
          <w:szCs w:val="24"/>
        </w:rPr>
        <w:t>Market</w:t>
      </w:r>
      <w:r w:rsidR="00D06A36">
        <w:rPr>
          <w:rFonts w:eastAsia="Times New Roman" w:cstheme="minorHAnsi"/>
          <w:bCs/>
          <w:sz w:val="24"/>
          <w:szCs w:val="24"/>
        </w:rPr>
        <w:t>s</w:t>
      </w:r>
      <w:r w:rsidRPr="006B50B3">
        <w:rPr>
          <w:rFonts w:eastAsia="Times New Roman" w:cstheme="minorHAnsi"/>
          <w:bCs/>
          <w:sz w:val="24"/>
          <w:szCs w:val="24"/>
        </w:rPr>
        <w:t xml:space="preserve"> studied and highlights</w:t>
      </w:r>
    </w:p>
    <w:p w:rsidR="00EE3A08" w:rsidRPr="006B50B3" w:rsidRDefault="00EE3A08" w:rsidP="006B50B3">
      <w:pPr>
        <w:rPr>
          <w:rFonts w:eastAsia="Times New Roman" w:cstheme="minorHAnsi"/>
          <w:bCs/>
          <w:sz w:val="24"/>
          <w:szCs w:val="24"/>
        </w:rPr>
      </w:pPr>
      <w:r w:rsidRPr="006B50B3">
        <w:rPr>
          <w:rFonts w:eastAsia="Times New Roman" w:cstheme="minorHAnsi"/>
          <w:color w:val="000000"/>
          <w:sz w:val="20"/>
          <w:szCs w:val="20"/>
        </w:rPr>
        <w:t xml:space="preserve">The summary of market coverage across the study districts is given in here: </w:t>
      </w:r>
    </w:p>
    <w:tbl>
      <w:tblPr>
        <w:tblW w:w="4972" w:type="pct"/>
        <w:tblInd w:w="108" w:type="dxa"/>
        <w:tblBorders>
          <w:top w:val="dotted" w:sz="4" w:space="0" w:color="A6A6A6" w:themeColor="background1" w:themeShade="A6"/>
          <w:bottom w:val="dotted" w:sz="4" w:space="0" w:color="A6A6A6" w:themeColor="background1" w:themeShade="A6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ayout w:type="fixed"/>
        <w:tblLook w:val="04A0"/>
      </w:tblPr>
      <w:tblGrid>
        <w:gridCol w:w="1838"/>
        <w:gridCol w:w="708"/>
        <w:gridCol w:w="708"/>
        <w:gridCol w:w="708"/>
        <w:gridCol w:w="709"/>
        <w:gridCol w:w="847"/>
        <w:gridCol w:w="708"/>
        <w:gridCol w:w="709"/>
        <w:gridCol w:w="708"/>
        <w:gridCol w:w="770"/>
        <w:gridCol w:w="777"/>
      </w:tblGrid>
      <w:tr w:rsidR="00EE3A08" w:rsidRPr="006B50B3" w:rsidTr="006B50B3">
        <w:trPr>
          <w:trHeight w:val="264"/>
        </w:trPr>
        <w:tc>
          <w:tcPr>
            <w:tcW w:w="1000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385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KMR</w:t>
            </w:r>
          </w:p>
        </w:tc>
        <w:tc>
          <w:tcPr>
            <w:tcW w:w="38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KRN</w:t>
            </w:r>
          </w:p>
        </w:tc>
        <w:tc>
          <w:tcPr>
            <w:tcW w:w="385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MAN</w:t>
            </w:r>
          </w:p>
        </w:tc>
        <w:tc>
          <w:tcPr>
            <w:tcW w:w="386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MDK</w:t>
            </w:r>
          </w:p>
        </w:tc>
        <w:tc>
          <w:tcPr>
            <w:tcW w:w="461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RGR</w:t>
            </w:r>
          </w:p>
        </w:tc>
        <w:tc>
          <w:tcPr>
            <w:tcW w:w="38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WPY</w:t>
            </w:r>
          </w:p>
        </w:tc>
        <w:tc>
          <w:tcPr>
            <w:tcW w:w="386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BDR</w:t>
            </w:r>
          </w:p>
        </w:tc>
        <w:tc>
          <w:tcPr>
            <w:tcW w:w="38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MBD</w:t>
            </w:r>
          </w:p>
        </w:tc>
        <w:tc>
          <w:tcPr>
            <w:tcW w:w="419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YDR</w:t>
            </w:r>
          </w:p>
        </w:tc>
        <w:tc>
          <w:tcPr>
            <w:tcW w:w="42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</w:tr>
      <w:tr w:rsidR="00EE3A08" w:rsidRPr="006B50B3" w:rsidTr="006B50B3">
        <w:trPr>
          <w:trHeight w:val="264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sym w:font="Wingdings 2" w:char="F0BE"/>
            </w:r>
            <w:r w:rsidRPr="006B50B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   Markets 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E3A08" w:rsidRPr="006B50B3" w:rsidTr="006B50B3">
        <w:trPr>
          <w:trHeight w:val="145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EE3A0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Local/rural   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86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19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25" w:type="pct"/>
            <w:vAlign w:val="center"/>
          </w:tcPr>
          <w:p w:rsidR="00EE3A08" w:rsidRPr="006B50B3" w:rsidRDefault="00305115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fldChar w:fldCharType="begin"/>
            </w:r>
            <w:r w:rsidR="00EE3A08" w:rsidRPr="006B50B3">
              <w:rPr>
                <w:rFonts w:eastAsia="Times New Roman" w:cstheme="minorHAnsi"/>
                <w:color w:val="000000"/>
                <w:sz w:val="18"/>
                <w:szCs w:val="18"/>
              </w:rPr>
              <w:instrText xml:space="preserve"> =SUM(LEFT) </w:instrText>
            </w: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fldChar w:fldCharType="separate"/>
            </w:r>
            <w:r w:rsidR="00EE3A08" w:rsidRPr="006B50B3">
              <w:rPr>
                <w:rFonts w:eastAsia="Times New Roman" w:cstheme="minorHAnsi"/>
                <w:noProof/>
                <w:color w:val="000000"/>
                <w:sz w:val="18"/>
                <w:szCs w:val="18"/>
              </w:rPr>
              <w:t>659</w:t>
            </w: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fldChar w:fldCharType="end"/>
            </w:r>
          </w:p>
        </w:tc>
      </w:tr>
      <w:tr w:rsidR="00EE3A08" w:rsidRPr="006B50B3" w:rsidTr="006B50B3">
        <w:trPr>
          <w:trHeight w:val="278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EE3A0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Wholesale  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EE3A08" w:rsidRPr="006B50B3" w:rsidTr="006B50B3">
        <w:trPr>
          <w:trHeight w:val="242"/>
        </w:trPr>
        <w:tc>
          <w:tcPr>
            <w:tcW w:w="1000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6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461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86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662</w:t>
            </w:r>
          </w:p>
        </w:tc>
      </w:tr>
      <w:tr w:rsidR="00EE3A08" w:rsidRPr="006B50B3" w:rsidTr="006B50B3">
        <w:trPr>
          <w:trHeight w:val="260"/>
        </w:trPr>
        <w:tc>
          <w:tcPr>
            <w:tcW w:w="1000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Percentage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8%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9%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86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15%</w:t>
            </w:r>
          </w:p>
        </w:tc>
        <w:tc>
          <w:tcPr>
            <w:tcW w:w="461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13%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14%</w:t>
            </w:r>
          </w:p>
        </w:tc>
        <w:tc>
          <w:tcPr>
            <w:tcW w:w="386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11%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13%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13%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100%</w:t>
            </w:r>
          </w:p>
        </w:tc>
      </w:tr>
      <w:tr w:rsidR="00EE3A08" w:rsidRPr="006B50B3" w:rsidTr="006B50B3">
        <w:trPr>
          <w:trHeight w:val="260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color w:val="000000"/>
                <w:sz w:val="16"/>
                <w:szCs w:val="18"/>
              </w:rPr>
              <w:sym w:font="Wingdings 2" w:char="F0BE"/>
            </w:r>
            <w:r w:rsidRPr="006B50B3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 xml:space="preserve">   Aggregators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86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9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25" w:type="pct"/>
            <w:vAlign w:val="center"/>
          </w:tcPr>
          <w:p w:rsidR="00EE3A08" w:rsidRPr="006B50B3" w:rsidRDefault="00305115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fldChar w:fldCharType="begin"/>
            </w:r>
            <w:r w:rsidR="00EE3A08" w:rsidRPr="006B50B3">
              <w:rPr>
                <w:rFonts w:cstheme="minorHAnsi"/>
                <w:color w:val="000000"/>
                <w:sz w:val="18"/>
                <w:szCs w:val="18"/>
              </w:rPr>
              <w:instrText xml:space="preserve"> =SUM(Left) </w:instrText>
            </w:r>
            <w:r w:rsidRPr="006B50B3">
              <w:rPr>
                <w:rFonts w:cstheme="minorHAnsi"/>
                <w:color w:val="000000"/>
                <w:sz w:val="18"/>
                <w:szCs w:val="18"/>
              </w:rPr>
              <w:fldChar w:fldCharType="separate"/>
            </w:r>
            <w:r w:rsidR="00EE3A08" w:rsidRPr="006B50B3">
              <w:rPr>
                <w:rFonts w:cstheme="minorHAnsi"/>
                <w:noProof/>
                <w:color w:val="000000"/>
                <w:sz w:val="18"/>
                <w:szCs w:val="18"/>
              </w:rPr>
              <w:t>63</w:t>
            </w:r>
            <w:r w:rsidRPr="006B50B3">
              <w:rPr>
                <w:rFonts w:cstheme="minorHAnsi"/>
                <w:color w:val="000000"/>
                <w:sz w:val="18"/>
                <w:szCs w:val="18"/>
              </w:rPr>
              <w:fldChar w:fldCharType="end"/>
            </w:r>
          </w:p>
        </w:tc>
      </w:tr>
      <w:tr w:rsidR="00EE3A08" w:rsidRPr="006B50B3" w:rsidTr="006B50B3">
        <w:trPr>
          <w:trHeight w:val="260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b/>
                <w:color w:val="000000"/>
                <w:sz w:val="16"/>
                <w:szCs w:val="18"/>
              </w:rPr>
              <w:sym w:font="Wingdings 2" w:char="F0BE"/>
            </w:r>
            <w:r w:rsidRPr="006B50B3">
              <w:rPr>
                <w:rFonts w:eastAsia="Times New Roman" w:cstheme="minorHAnsi"/>
                <w:b/>
                <w:color w:val="000000"/>
                <w:sz w:val="16"/>
                <w:szCs w:val="18"/>
              </w:rPr>
              <w:t xml:space="preserve"> </w:t>
            </w:r>
            <w:r w:rsidRPr="006B50B3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 xml:space="preserve">  Consumers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19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EE3A08" w:rsidRPr="006B50B3" w:rsidTr="006B50B3">
        <w:trPr>
          <w:trHeight w:val="238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EE3A0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Rural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86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19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425" w:type="pct"/>
            <w:vAlign w:val="center"/>
          </w:tcPr>
          <w:p w:rsidR="00EE3A08" w:rsidRPr="006B50B3" w:rsidRDefault="00305115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fldChar w:fldCharType="begin"/>
            </w:r>
            <w:r w:rsidR="00EE3A08" w:rsidRPr="006B50B3">
              <w:rPr>
                <w:rFonts w:cstheme="minorHAnsi"/>
                <w:color w:val="000000"/>
                <w:sz w:val="18"/>
                <w:szCs w:val="18"/>
              </w:rPr>
              <w:instrText xml:space="preserve"> =SUM(LEFT) </w:instrText>
            </w:r>
            <w:r w:rsidRPr="006B50B3">
              <w:rPr>
                <w:rFonts w:cstheme="minorHAnsi"/>
                <w:color w:val="000000"/>
                <w:sz w:val="18"/>
                <w:szCs w:val="18"/>
              </w:rPr>
              <w:fldChar w:fldCharType="separate"/>
            </w:r>
            <w:r w:rsidR="00EE3A08" w:rsidRPr="006B50B3">
              <w:rPr>
                <w:rFonts w:cstheme="minorHAnsi"/>
                <w:noProof/>
                <w:color w:val="000000"/>
                <w:sz w:val="18"/>
                <w:szCs w:val="18"/>
              </w:rPr>
              <w:t>718</w:t>
            </w:r>
            <w:r w:rsidRPr="006B50B3">
              <w:rPr>
                <w:rFonts w:cstheme="minorHAnsi"/>
                <w:color w:val="000000"/>
                <w:sz w:val="18"/>
                <w:szCs w:val="18"/>
              </w:rPr>
              <w:fldChar w:fldCharType="end"/>
            </w:r>
          </w:p>
        </w:tc>
      </w:tr>
      <w:tr w:rsidR="00EE3A08" w:rsidRPr="006B50B3" w:rsidTr="006B50B3">
        <w:trPr>
          <w:trHeight w:val="300"/>
        </w:trPr>
        <w:tc>
          <w:tcPr>
            <w:tcW w:w="1000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EE3A0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Urban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6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5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19" w:type="pct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25" w:type="pct"/>
            <w:vAlign w:val="center"/>
          </w:tcPr>
          <w:p w:rsidR="00EE3A08" w:rsidRPr="006B50B3" w:rsidRDefault="00305115" w:rsidP="00612F6A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fldChar w:fldCharType="begin"/>
            </w:r>
            <w:r w:rsidR="00EE3A08" w:rsidRPr="006B50B3">
              <w:rPr>
                <w:rFonts w:eastAsia="Times New Roman" w:cstheme="minorHAnsi"/>
                <w:color w:val="000000"/>
                <w:sz w:val="18"/>
                <w:szCs w:val="18"/>
              </w:rPr>
              <w:instrText xml:space="preserve"> =SUM(Left) </w:instrText>
            </w: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fldChar w:fldCharType="separate"/>
            </w:r>
            <w:r w:rsidR="00EE3A08" w:rsidRPr="006B50B3">
              <w:rPr>
                <w:rFonts w:eastAsia="Times New Roman" w:cstheme="minorHAnsi"/>
                <w:noProof/>
                <w:color w:val="000000"/>
                <w:sz w:val="18"/>
                <w:szCs w:val="18"/>
              </w:rPr>
              <w:t>322</w:t>
            </w:r>
            <w:r w:rsidRPr="006B50B3">
              <w:rPr>
                <w:rFonts w:eastAsia="Times New Roman" w:cstheme="minorHAnsi"/>
                <w:color w:val="000000"/>
                <w:sz w:val="18"/>
                <w:szCs w:val="18"/>
              </w:rPr>
              <w:fldChar w:fldCharType="end"/>
            </w:r>
          </w:p>
        </w:tc>
      </w:tr>
      <w:tr w:rsidR="00EE3A08" w:rsidRPr="006B50B3" w:rsidTr="0013720F">
        <w:trPr>
          <w:trHeight w:val="233"/>
        </w:trPr>
        <w:tc>
          <w:tcPr>
            <w:tcW w:w="1000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6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461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86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146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1040</w:t>
            </w:r>
          </w:p>
        </w:tc>
      </w:tr>
      <w:tr w:rsidR="00EE3A08" w:rsidRPr="006B50B3" w:rsidTr="0013720F">
        <w:trPr>
          <w:trHeight w:val="278"/>
        </w:trPr>
        <w:tc>
          <w:tcPr>
            <w:tcW w:w="1000" w:type="pct"/>
            <w:shd w:val="clear" w:color="auto" w:fill="D9D9D9" w:themeFill="background1" w:themeFillShade="D9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Percentage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7%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11%</w:t>
            </w:r>
          </w:p>
        </w:tc>
        <w:tc>
          <w:tcPr>
            <w:tcW w:w="385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7%</w:t>
            </w:r>
          </w:p>
        </w:tc>
        <w:tc>
          <w:tcPr>
            <w:tcW w:w="386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13%</w:t>
            </w:r>
          </w:p>
        </w:tc>
        <w:tc>
          <w:tcPr>
            <w:tcW w:w="461" w:type="pct"/>
            <w:shd w:val="clear" w:color="auto" w:fill="D9D9D9" w:themeFill="background1" w:themeFillShade="D9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11%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13%</w:t>
            </w:r>
          </w:p>
        </w:tc>
        <w:tc>
          <w:tcPr>
            <w:tcW w:w="386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11%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13%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14%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bottom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Cs/>
                <w:color w:val="000000"/>
                <w:sz w:val="18"/>
                <w:szCs w:val="18"/>
              </w:rPr>
              <w:t>100%</w:t>
            </w:r>
          </w:p>
        </w:tc>
      </w:tr>
      <w:tr w:rsidR="00EE3A08" w:rsidRPr="00612F6A" w:rsidTr="006B50B3">
        <w:trPr>
          <w:trHeight w:val="136"/>
        </w:trPr>
        <w:tc>
          <w:tcPr>
            <w:tcW w:w="1000" w:type="pct"/>
            <w:shd w:val="clear" w:color="000000" w:fill="D8D8D8"/>
            <w:noWrap/>
            <w:vAlign w:val="bottom"/>
            <w:hideMark/>
          </w:tcPr>
          <w:p w:rsidR="00EE3A08" w:rsidRPr="006B50B3" w:rsidRDefault="00EE3A08" w:rsidP="00612F6A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Overall per market consumer coverage</w:t>
            </w:r>
          </w:p>
        </w:tc>
        <w:tc>
          <w:tcPr>
            <w:tcW w:w="385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8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85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86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461" w:type="pct"/>
            <w:shd w:val="clear" w:color="000000" w:fill="D8D8D8"/>
            <w:noWrap/>
            <w:vAlign w:val="center"/>
            <w:hideMark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8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86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8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419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425" w:type="pct"/>
            <w:shd w:val="clear" w:color="000000" w:fill="D8D8D8"/>
            <w:vAlign w:val="center"/>
          </w:tcPr>
          <w:p w:rsidR="00EE3A08" w:rsidRPr="006B50B3" w:rsidRDefault="00EE3A08" w:rsidP="00612F6A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1.6</w:t>
            </w:r>
          </w:p>
        </w:tc>
      </w:tr>
    </w:tbl>
    <w:p w:rsidR="00EE3A08" w:rsidRPr="00612F6A" w:rsidRDefault="00EE3A08" w:rsidP="00EE3A08">
      <w:pPr>
        <w:spacing w:after="0"/>
        <w:ind w:left="-142"/>
        <w:jc w:val="both"/>
        <w:rPr>
          <w:rFonts w:eastAsia="Times New Roman" w:cstheme="minorHAnsi"/>
          <w:color w:val="000000"/>
          <w:sz w:val="20"/>
          <w:szCs w:val="20"/>
          <w:highlight w:val="yellow"/>
        </w:rPr>
      </w:pPr>
    </w:p>
    <w:p w:rsidR="0079027D" w:rsidRPr="006B50B3" w:rsidRDefault="0079027D" w:rsidP="006B50B3">
      <w:pPr>
        <w:pStyle w:val="ListParagraph"/>
        <w:numPr>
          <w:ilvl w:val="0"/>
          <w:numId w:val="18"/>
        </w:numPr>
        <w:spacing w:after="0"/>
        <w:jc w:val="both"/>
        <w:rPr>
          <w:rFonts w:eastAsia="Times New Roman" w:cstheme="minorHAnsi"/>
          <w:b/>
          <w:color w:val="000000"/>
          <w:sz w:val="20"/>
          <w:szCs w:val="20"/>
        </w:rPr>
      </w:pPr>
      <w:r w:rsidRPr="006B50B3">
        <w:rPr>
          <w:rFonts w:eastAsia="Times New Roman" w:cstheme="minorHAnsi"/>
          <w:b/>
          <w:color w:val="000000"/>
          <w:sz w:val="20"/>
          <w:szCs w:val="20"/>
        </w:rPr>
        <w:t>Market  Aggregators</w:t>
      </w:r>
    </w:p>
    <w:p w:rsidR="0079027D" w:rsidRPr="006B50B3" w:rsidRDefault="0079027D" w:rsidP="006B50B3">
      <w:pPr>
        <w:jc w:val="both"/>
        <w:rPr>
          <w:rFonts w:eastAsia="Times New Roman" w:cstheme="minorHAnsi"/>
          <w:color w:val="000000"/>
          <w:sz w:val="20"/>
          <w:szCs w:val="20"/>
        </w:rPr>
      </w:pPr>
      <w:r w:rsidRPr="006B50B3">
        <w:rPr>
          <w:rFonts w:eastAsia="Times New Roman" w:cstheme="minorHAnsi"/>
          <w:color w:val="000000"/>
          <w:sz w:val="20"/>
          <w:szCs w:val="20"/>
        </w:rPr>
        <w:t xml:space="preserve">As aggregators are important market intermediaries the field study involves feedback from 63 of them from 7 out of 9 study districts as shown in the table below: </w:t>
      </w:r>
    </w:p>
    <w:tbl>
      <w:tblPr>
        <w:tblW w:w="4942" w:type="pct"/>
        <w:tblInd w:w="108" w:type="dxa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ook w:val="04A0"/>
      </w:tblPr>
      <w:tblGrid>
        <w:gridCol w:w="2363"/>
        <w:gridCol w:w="3457"/>
        <w:gridCol w:w="1531"/>
        <w:gridCol w:w="827"/>
        <w:gridCol w:w="957"/>
      </w:tblGrid>
      <w:tr w:rsidR="0079027D" w:rsidRPr="006B50B3" w:rsidTr="00612F6A">
        <w:trPr>
          <w:trHeight w:val="256"/>
        </w:trPr>
        <w:tc>
          <w:tcPr>
            <w:tcW w:w="1231" w:type="pct"/>
            <w:vMerge w:val="restar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1908" w:type="pct"/>
            <w:vMerge w:val="restar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Geo Code</w:t>
            </w:r>
          </w:p>
        </w:tc>
        <w:tc>
          <w:tcPr>
            <w:tcW w:w="854" w:type="pct"/>
            <w:vMerge w:val="restar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INS.code</w:t>
            </w:r>
            <w:proofErr w:type="spellEnd"/>
          </w:p>
        </w:tc>
        <w:tc>
          <w:tcPr>
            <w:tcW w:w="1007" w:type="pct"/>
            <w:gridSpan w:val="2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Markets</w:t>
            </w:r>
          </w:p>
        </w:tc>
      </w:tr>
      <w:tr w:rsidR="0079027D" w:rsidRPr="006B50B3" w:rsidTr="00612F6A">
        <w:trPr>
          <w:trHeight w:val="95"/>
        </w:trPr>
        <w:tc>
          <w:tcPr>
            <w:tcW w:w="1231" w:type="pct"/>
            <w:vMerge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8" w:type="pct"/>
            <w:vMerge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pct"/>
            <w:vMerge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8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539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79027D" w:rsidRPr="006B50B3" w:rsidTr="006B50B3">
        <w:trPr>
          <w:trHeight w:val="197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Kamareddy</w:t>
            </w:r>
            <w:proofErr w:type="spellEnd"/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A1 KMR(M2,M3,M4,M5 &amp; M9)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MLRAQ(1-22)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35%</w:t>
            </w:r>
          </w:p>
        </w:tc>
      </w:tr>
      <w:tr w:rsidR="0079027D" w:rsidRPr="006B50B3" w:rsidTr="006B50B3">
        <w:trPr>
          <w:trHeight w:val="152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Karimnagar</w:t>
            </w:r>
            <w:proofErr w:type="spellEnd"/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A2 KRN(M1, M5, M6 &amp; M7)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MLRAQ(23-37)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24%</w:t>
            </w:r>
          </w:p>
        </w:tc>
      </w:tr>
      <w:tr w:rsidR="0079027D" w:rsidRPr="006B50B3" w:rsidTr="006B50B3">
        <w:trPr>
          <w:trHeight w:val="215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Yadadri</w:t>
            </w:r>
            <w:proofErr w:type="spellEnd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C9 YDR(M1,M2,M4,M5,M7, M8 &amp; M9)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MLRAQ(57-63)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11%</w:t>
            </w:r>
          </w:p>
        </w:tc>
      </w:tr>
      <w:tr w:rsidR="0079027D" w:rsidRPr="006B50B3" w:rsidTr="006B50B3">
        <w:trPr>
          <w:trHeight w:val="260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Mancherial</w:t>
            </w:r>
            <w:proofErr w:type="spellEnd"/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A3 MAN (M3 &amp; M7)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MLRAQ(38-43)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10%</w:t>
            </w:r>
          </w:p>
        </w:tc>
      </w:tr>
      <w:tr w:rsidR="0079027D" w:rsidRPr="006B50B3" w:rsidTr="006B50B3">
        <w:trPr>
          <w:trHeight w:val="215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Bhadradri</w:t>
            </w:r>
            <w:proofErr w:type="spellEnd"/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C7 BDR(M1,M6,M8 &amp; M9)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MLRAQ(45-50)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10%</w:t>
            </w:r>
          </w:p>
        </w:tc>
      </w:tr>
      <w:tr w:rsidR="0079027D" w:rsidRPr="006B50B3" w:rsidTr="006B50B3">
        <w:trPr>
          <w:trHeight w:val="278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Mahabubabad</w:t>
            </w:r>
            <w:proofErr w:type="spellEnd"/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C8 MBD(M1,M2,M5,M6,M8 &amp; M9)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MLRAQ(51-56)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10%</w:t>
            </w:r>
          </w:p>
        </w:tc>
      </w:tr>
      <w:tr w:rsidR="0079027D" w:rsidRPr="006B50B3" w:rsidTr="006B50B3">
        <w:trPr>
          <w:trHeight w:val="233"/>
        </w:trPr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79027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Medak</w:t>
            </w:r>
            <w:proofErr w:type="spellEnd"/>
          </w:p>
        </w:tc>
        <w:tc>
          <w:tcPr>
            <w:tcW w:w="190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B4 MDK (M3)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MLRAQ(44)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2%</w:t>
            </w:r>
          </w:p>
        </w:tc>
      </w:tr>
      <w:tr w:rsidR="0079027D" w:rsidRPr="006B50B3" w:rsidTr="0013720F">
        <w:trPr>
          <w:trHeight w:val="278"/>
        </w:trPr>
        <w:tc>
          <w:tcPr>
            <w:tcW w:w="1231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908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8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539" w:type="pct"/>
            <w:shd w:val="clear" w:color="000000" w:fill="D8D8D8"/>
            <w:noWrap/>
            <w:vAlign w:val="center"/>
            <w:hideMark/>
          </w:tcPr>
          <w:p w:rsidR="0079027D" w:rsidRPr="006B50B3" w:rsidRDefault="0079027D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100%</w:t>
            </w:r>
          </w:p>
        </w:tc>
      </w:tr>
    </w:tbl>
    <w:p w:rsidR="0079027D" w:rsidRPr="006B50B3" w:rsidRDefault="0079027D" w:rsidP="0079027D">
      <w:pPr>
        <w:pStyle w:val="ListParagraph"/>
        <w:spacing w:after="0"/>
        <w:ind w:left="0"/>
        <w:jc w:val="both"/>
        <w:rPr>
          <w:rFonts w:eastAsia="Times New Roman" w:cstheme="minorHAnsi"/>
          <w:color w:val="000000"/>
          <w:sz w:val="20"/>
          <w:szCs w:val="20"/>
        </w:rPr>
      </w:pPr>
    </w:p>
    <w:p w:rsidR="0086544E" w:rsidRPr="006B50B3" w:rsidRDefault="0086544E" w:rsidP="006B50B3">
      <w:pPr>
        <w:pStyle w:val="ListParagraph"/>
        <w:numPr>
          <w:ilvl w:val="0"/>
          <w:numId w:val="18"/>
        </w:numPr>
        <w:spacing w:after="0"/>
        <w:jc w:val="both"/>
        <w:rPr>
          <w:rFonts w:eastAsia="Times New Roman" w:cstheme="minorHAnsi"/>
          <w:b/>
          <w:sz w:val="20"/>
          <w:szCs w:val="20"/>
        </w:rPr>
      </w:pPr>
      <w:r w:rsidRPr="006B50B3">
        <w:rPr>
          <w:rFonts w:eastAsia="Times New Roman" w:cstheme="minorHAnsi"/>
          <w:b/>
          <w:sz w:val="20"/>
          <w:szCs w:val="20"/>
        </w:rPr>
        <w:t>Consumers response in rural areas (MCR)</w:t>
      </w:r>
    </w:p>
    <w:p w:rsidR="0086544E" w:rsidRPr="006B50B3" w:rsidRDefault="0086544E" w:rsidP="0086544E">
      <w:pPr>
        <w:spacing w:after="0"/>
        <w:jc w:val="both"/>
        <w:rPr>
          <w:rFonts w:cstheme="minorHAnsi"/>
          <w:sz w:val="10"/>
          <w:szCs w:val="20"/>
        </w:rPr>
      </w:pPr>
    </w:p>
    <w:p w:rsidR="0086544E" w:rsidRPr="006B50B3" w:rsidRDefault="0086544E" w:rsidP="006B50B3">
      <w:pPr>
        <w:jc w:val="both"/>
        <w:rPr>
          <w:rFonts w:cstheme="minorHAnsi"/>
          <w:sz w:val="20"/>
          <w:szCs w:val="20"/>
        </w:rPr>
      </w:pPr>
      <w:r w:rsidRPr="006B50B3">
        <w:rPr>
          <w:rFonts w:cstheme="minorHAnsi"/>
          <w:sz w:val="20"/>
          <w:szCs w:val="20"/>
        </w:rPr>
        <w:t>The survey covers 718 rural consumers as shown in the following tables:</w:t>
      </w:r>
      <w:r w:rsidRPr="006B50B3">
        <w:rPr>
          <w:rFonts w:cstheme="minorHAnsi"/>
          <w:b/>
          <w:sz w:val="24"/>
          <w:szCs w:val="24"/>
        </w:rPr>
        <w:t xml:space="preserve"> </w:t>
      </w:r>
    </w:p>
    <w:tbl>
      <w:tblPr>
        <w:tblW w:w="4942" w:type="pct"/>
        <w:tblInd w:w="108" w:type="dxa"/>
        <w:tblBorders>
          <w:top w:val="dotted" w:sz="4" w:space="0" w:color="A6A6A6" w:themeColor="background1" w:themeShade="A6"/>
          <w:bottom w:val="dotted" w:sz="4" w:space="0" w:color="A6A6A6" w:themeColor="background1" w:themeShade="A6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ook w:val="04A0"/>
      </w:tblPr>
      <w:tblGrid>
        <w:gridCol w:w="2829"/>
        <w:gridCol w:w="2507"/>
        <w:gridCol w:w="1927"/>
        <w:gridCol w:w="935"/>
        <w:gridCol w:w="937"/>
      </w:tblGrid>
      <w:tr w:rsidR="0086544E" w:rsidRPr="006B50B3" w:rsidTr="00612F6A">
        <w:trPr>
          <w:trHeight w:val="300"/>
        </w:trPr>
        <w:tc>
          <w:tcPr>
            <w:tcW w:w="1548" w:type="pct"/>
            <w:vMerge w:val="restar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District </w:t>
            </w:r>
          </w:p>
        </w:tc>
        <w:tc>
          <w:tcPr>
            <w:tcW w:w="1372" w:type="pct"/>
            <w:vMerge w:val="restar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Geo Code</w:t>
            </w:r>
          </w:p>
        </w:tc>
        <w:tc>
          <w:tcPr>
            <w:tcW w:w="1055" w:type="pct"/>
            <w:vMerge w:val="restar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Inst. code</w:t>
            </w:r>
          </w:p>
        </w:tc>
        <w:tc>
          <w:tcPr>
            <w:tcW w:w="1025" w:type="pct"/>
            <w:gridSpan w:val="2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Rural Consumer</w:t>
            </w:r>
          </w:p>
        </w:tc>
      </w:tr>
      <w:tr w:rsidR="0086544E" w:rsidRPr="006B50B3" w:rsidTr="006B50B3">
        <w:trPr>
          <w:trHeight w:val="260"/>
        </w:trPr>
        <w:tc>
          <w:tcPr>
            <w:tcW w:w="1548" w:type="pct"/>
            <w:vMerge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pct"/>
            <w:vMerge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vMerge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513" w:type="pc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86544E" w:rsidRPr="006B50B3" w:rsidTr="00612F6A">
        <w:trPr>
          <w:trHeight w:val="300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Kamareddy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A1 KMR(M1-M9)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CONR(1-49)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7%</w:t>
            </w:r>
          </w:p>
        </w:tc>
      </w:tr>
      <w:tr w:rsidR="0086544E" w:rsidRPr="006B50B3" w:rsidTr="006B50B3">
        <w:trPr>
          <w:trHeight w:val="260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Karimnagar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A2 KRN(M1-M9)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CONR(50-110)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8%</w:t>
            </w:r>
          </w:p>
        </w:tc>
      </w:tr>
      <w:tr w:rsidR="0086544E" w:rsidRPr="006B50B3" w:rsidTr="006B50B3">
        <w:trPr>
          <w:trHeight w:val="260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Mancherial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A3 MAN(M1-M9)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CONR(111-155)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6%</w:t>
            </w:r>
          </w:p>
        </w:tc>
      </w:tr>
      <w:tr w:rsidR="0086544E" w:rsidRPr="006B50B3" w:rsidTr="006B50B3">
        <w:trPr>
          <w:trHeight w:val="188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Medak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B4 MDK(M1-M9)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CONR(156-253)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14%</w:t>
            </w:r>
          </w:p>
        </w:tc>
      </w:tr>
      <w:tr w:rsidR="0086544E" w:rsidRPr="006B50B3" w:rsidTr="00612F6A">
        <w:trPr>
          <w:trHeight w:val="300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Rangareddy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B5 RGR(M1-M9)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CONR(254-343)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13%</w:t>
            </w:r>
          </w:p>
        </w:tc>
      </w:tr>
      <w:tr w:rsidR="0086544E" w:rsidRPr="006B50B3" w:rsidTr="006B50B3">
        <w:trPr>
          <w:trHeight w:val="242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Wanaparthy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B6WPY(M1-M9)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CONR(344-439)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13%</w:t>
            </w:r>
          </w:p>
        </w:tc>
      </w:tr>
      <w:tr w:rsidR="0086544E" w:rsidRPr="006B50B3" w:rsidTr="00612F6A">
        <w:trPr>
          <w:trHeight w:val="300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Bhadradri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C7BDR(M1-M9)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CONR(440-530)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13%</w:t>
            </w:r>
          </w:p>
        </w:tc>
      </w:tr>
      <w:tr w:rsidR="0086544E" w:rsidRPr="006B50B3" w:rsidTr="006B50B3">
        <w:trPr>
          <w:trHeight w:val="215"/>
        </w:trPr>
        <w:tc>
          <w:tcPr>
            <w:tcW w:w="1548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Mahabubabad</w:t>
            </w:r>
            <w:proofErr w:type="spellEnd"/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C8MBD(M1-M9)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CONR(531-617)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12%</w:t>
            </w:r>
          </w:p>
        </w:tc>
      </w:tr>
      <w:tr w:rsidR="0086544E" w:rsidRPr="006B50B3" w:rsidTr="006B50B3">
        <w:trPr>
          <w:trHeight w:val="152"/>
        </w:trPr>
        <w:tc>
          <w:tcPr>
            <w:tcW w:w="1548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86544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Yadadri</w:t>
            </w:r>
            <w:proofErr w:type="spellEnd"/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2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C9YDR(M1-M9)</w:t>
            </w:r>
          </w:p>
        </w:tc>
        <w:tc>
          <w:tcPr>
            <w:tcW w:w="1055" w:type="pct"/>
            <w:shd w:val="clear" w:color="auto" w:fill="auto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CONR(618-718)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14%</w:t>
            </w:r>
          </w:p>
        </w:tc>
      </w:tr>
      <w:tr w:rsidR="0086544E" w:rsidRPr="006B50B3" w:rsidTr="00612F6A">
        <w:trPr>
          <w:trHeight w:val="300"/>
        </w:trPr>
        <w:tc>
          <w:tcPr>
            <w:tcW w:w="1548" w:type="pct"/>
            <w:shd w:val="clear" w:color="000000" w:fill="D8D8D8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72" w:type="pct"/>
            <w:shd w:val="clear" w:color="000000" w:fill="D8D8D8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pct"/>
            <w:shd w:val="clear" w:color="000000" w:fill="D8D8D8"/>
            <w:noWrap/>
            <w:vAlign w:val="bottom"/>
            <w:hideMark/>
          </w:tcPr>
          <w:p w:rsidR="0086544E" w:rsidRPr="006B50B3" w:rsidRDefault="0086544E" w:rsidP="00612F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" w:type="pc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513" w:type="pct"/>
            <w:shd w:val="clear" w:color="000000" w:fill="D8D8D8"/>
            <w:noWrap/>
            <w:vAlign w:val="center"/>
            <w:hideMark/>
          </w:tcPr>
          <w:p w:rsidR="0086544E" w:rsidRPr="006B50B3" w:rsidRDefault="0086544E" w:rsidP="00612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0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100%</w:t>
            </w:r>
          </w:p>
        </w:tc>
      </w:tr>
    </w:tbl>
    <w:p w:rsidR="0086544E" w:rsidRPr="0013720F" w:rsidRDefault="0086544E" w:rsidP="0013720F">
      <w:pPr>
        <w:pStyle w:val="ListParagraph"/>
        <w:numPr>
          <w:ilvl w:val="0"/>
          <w:numId w:val="18"/>
        </w:numPr>
        <w:spacing w:after="0"/>
        <w:jc w:val="both"/>
        <w:rPr>
          <w:rFonts w:eastAsia="Times New Roman" w:cstheme="minorHAnsi"/>
          <w:b/>
          <w:sz w:val="20"/>
          <w:szCs w:val="20"/>
        </w:rPr>
      </w:pPr>
      <w:r w:rsidRPr="0013720F">
        <w:rPr>
          <w:rFonts w:eastAsia="Times New Roman" w:cstheme="minorHAnsi"/>
          <w:b/>
          <w:sz w:val="20"/>
          <w:szCs w:val="20"/>
        </w:rPr>
        <w:lastRenderedPageBreak/>
        <w:t>Consumers in urban areas (MCU)</w:t>
      </w:r>
    </w:p>
    <w:p w:rsidR="0086544E" w:rsidRPr="006B50B3" w:rsidRDefault="0086544E" w:rsidP="0086544E">
      <w:pPr>
        <w:pStyle w:val="ListParagraph"/>
        <w:spacing w:after="0"/>
        <w:ind w:left="567"/>
        <w:jc w:val="both"/>
        <w:rPr>
          <w:rFonts w:eastAsia="Times New Roman" w:cs="Times New Roman"/>
          <w:b/>
          <w:color w:val="000000"/>
          <w:sz w:val="4"/>
          <w:szCs w:val="20"/>
        </w:rPr>
      </w:pPr>
    </w:p>
    <w:p w:rsidR="0086544E" w:rsidRPr="006B50B3" w:rsidRDefault="0086544E" w:rsidP="006B50B3">
      <w:pPr>
        <w:jc w:val="both"/>
        <w:rPr>
          <w:rFonts w:eastAsia="Times New Roman" w:cs="Times New Roman"/>
          <w:color w:val="000000"/>
          <w:sz w:val="20"/>
          <w:szCs w:val="20"/>
        </w:rPr>
      </w:pPr>
      <w:r w:rsidRPr="006B50B3">
        <w:rPr>
          <w:rFonts w:cstheme="minorHAnsi"/>
          <w:sz w:val="20"/>
          <w:szCs w:val="20"/>
        </w:rPr>
        <w:t>The survey covers 322 urban consumers as shown in the following tables:</w:t>
      </w:r>
      <w:r w:rsidRPr="006B50B3">
        <w:rPr>
          <w:rFonts w:cstheme="minorHAnsi"/>
          <w:b/>
          <w:sz w:val="24"/>
          <w:szCs w:val="24"/>
        </w:rPr>
        <w:t xml:space="preserve"> </w:t>
      </w:r>
    </w:p>
    <w:tbl>
      <w:tblPr>
        <w:tblW w:w="4942" w:type="pct"/>
        <w:tblInd w:w="108" w:type="dxa"/>
        <w:tblLook w:val="04A0"/>
      </w:tblPr>
      <w:tblGrid>
        <w:gridCol w:w="1412"/>
        <w:gridCol w:w="3700"/>
        <w:gridCol w:w="1683"/>
        <w:gridCol w:w="1167"/>
        <w:gridCol w:w="1173"/>
      </w:tblGrid>
      <w:tr w:rsidR="0086544E" w:rsidRPr="006B50B3" w:rsidTr="0013720F">
        <w:trPr>
          <w:trHeight w:val="242"/>
        </w:trPr>
        <w:tc>
          <w:tcPr>
            <w:tcW w:w="773" w:type="pct"/>
            <w:vMerge w:val="restart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District </w:t>
            </w:r>
          </w:p>
        </w:tc>
        <w:tc>
          <w:tcPr>
            <w:tcW w:w="2025" w:type="pct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Geo Code</w:t>
            </w:r>
          </w:p>
        </w:tc>
        <w:tc>
          <w:tcPr>
            <w:tcW w:w="921" w:type="pct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INS.code</w:t>
            </w:r>
            <w:proofErr w:type="spellEnd"/>
          </w:p>
        </w:tc>
        <w:tc>
          <w:tcPr>
            <w:tcW w:w="1281" w:type="pct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Urban Consumer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vMerge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5" w:type="pct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" w:type="pct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Kamareddy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A1 KMR(M2,M3,M4&amp;M9)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(1-25)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Karimnagar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A2 KRN(M1,M3,M4,M5,M6,M7 &amp; M8)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(26-75)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Mancherial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A3 MAN(M1,M3,M6,M7 &amp; 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(76-102)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Medak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B4 MDK(M1-M9)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(103-144)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Rangareddy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B5 RGR(M1,M2,M3,M4,M5 &amp; 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(145-167)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Wanaparthy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B6 WPY(M1-M9)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(168-204)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11%</w:t>
            </w:r>
          </w:p>
        </w:tc>
      </w:tr>
      <w:tr w:rsidR="0086544E" w:rsidRPr="006B50B3" w:rsidTr="0013720F">
        <w:trPr>
          <w:trHeight w:val="17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Bhadradri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C7 BDR(M8 &amp; 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(205-224)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6%</w:t>
            </w:r>
          </w:p>
        </w:tc>
      </w:tr>
      <w:tr w:rsidR="0086544E" w:rsidRPr="006B50B3" w:rsidTr="0013720F">
        <w:trPr>
          <w:trHeight w:val="260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Mahabubabad</w:t>
            </w:r>
            <w:proofErr w:type="spellEnd"/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C8 MBD(M1,M2,M3,M5,M6,M7,M8 &amp; 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(225-277)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16%</w:t>
            </w:r>
          </w:p>
        </w:tc>
      </w:tr>
      <w:tr w:rsidR="0086544E" w:rsidRPr="006B50B3" w:rsidTr="0013720F">
        <w:trPr>
          <w:trHeight w:val="278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Yadadri</w:t>
            </w:r>
            <w:proofErr w:type="spellEnd"/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C9 YDR(M1,M2,M4,M5,M7&amp; M9)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CONUQ (278-322)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auto" w:fill="auto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14%</w:t>
            </w:r>
          </w:p>
        </w:tc>
      </w:tr>
      <w:tr w:rsidR="0086544E" w:rsidRPr="006B50B3" w:rsidTr="0013720F">
        <w:trPr>
          <w:trHeight w:val="152"/>
        </w:trPr>
        <w:tc>
          <w:tcPr>
            <w:tcW w:w="773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bottom"/>
            <w:hideMark/>
          </w:tcPr>
          <w:p w:rsidR="0086544E" w:rsidRPr="0013720F" w:rsidRDefault="0086544E" w:rsidP="00612F6A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322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5A5A5"/>
              <w:right w:val="nil"/>
            </w:tcBorders>
            <w:shd w:val="clear" w:color="000000" w:fill="D8D8D8"/>
            <w:noWrap/>
            <w:vAlign w:val="center"/>
            <w:hideMark/>
          </w:tcPr>
          <w:p w:rsidR="0086544E" w:rsidRPr="0013720F" w:rsidRDefault="0086544E" w:rsidP="00612F6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3720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100%</w:t>
            </w:r>
          </w:p>
        </w:tc>
      </w:tr>
    </w:tbl>
    <w:p w:rsidR="0086544E" w:rsidRPr="00FB5609" w:rsidRDefault="0086544E" w:rsidP="0086544E">
      <w:pPr>
        <w:spacing w:after="0"/>
        <w:ind w:left="-142"/>
        <w:jc w:val="both"/>
        <w:rPr>
          <w:rFonts w:eastAsia="Times New Roman" w:cs="Times New Roman"/>
          <w:color w:val="000000"/>
          <w:sz w:val="40"/>
          <w:szCs w:val="20"/>
        </w:rPr>
      </w:pPr>
    </w:p>
    <w:p w:rsidR="0086544E" w:rsidRPr="0013720F" w:rsidRDefault="0086544E" w:rsidP="0013720F">
      <w:pPr>
        <w:pStyle w:val="ListParagraph"/>
        <w:numPr>
          <w:ilvl w:val="0"/>
          <w:numId w:val="19"/>
        </w:numPr>
        <w:jc w:val="both"/>
        <w:rPr>
          <w:rFonts w:cstheme="minorHAnsi"/>
          <w:b/>
          <w:sz w:val="24"/>
          <w:szCs w:val="24"/>
        </w:rPr>
      </w:pPr>
      <w:r w:rsidRPr="0013720F">
        <w:rPr>
          <w:b/>
          <w:i/>
        </w:rPr>
        <w:t>Highlights on marketing aspects</w:t>
      </w:r>
    </w:p>
    <w:p w:rsidR="0086544E" w:rsidRDefault="0086544E" w:rsidP="0086544E">
      <w:pPr>
        <w:spacing w:after="0" w:line="240" w:lineRule="auto"/>
        <w:jc w:val="both"/>
        <w:rPr>
          <w:rFonts w:eastAsia="Times New Roman" w:cstheme="minorHAnsi"/>
          <w:b/>
          <w:color w:val="000000"/>
          <w:sz w:val="18"/>
          <w:szCs w:val="18"/>
        </w:rPr>
      </w:pPr>
      <w:r w:rsidRPr="006B50B3">
        <w:rPr>
          <w:rFonts w:eastAsia="Times New Roman" w:cstheme="minorHAnsi"/>
          <w:b/>
          <w:color w:val="000000"/>
          <w:sz w:val="20"/>
          <w:szCs w:val="20"/>
        </w:rPr>
        <w:t>Local/</w:t>
      </w:r>
      <w:r w:rsidRPr="006B50B3">
        <w:rPr>
          <w:rFonts w:eastAsia="Times New Roman" w:cstheme="minorHAnsi"/>
          <w:b/>
          <w:color w:val="000000"/>
          <w:sz w:val="18"/>
          <w:szCs w:val="18"/>
        </w:rPr>
        <w:t>Rural market (MLR)</w:t>
      </w:r>
    </w:p>
    <w:p w:rsidR="00FB5609" w:rsidRPr="00FB5609" w:rsidRDefault="00FB5609" w:rsidP="0086544E">
      <w:pPr>
        <w:spacing w:after="0" w:line="240" w:lineRule="auto"/>
        <w:jc w:val="both"/>
        <w:rPr>
          <w:rFonts w:eastAsia="Times New Roman" w:cstheme="minorHAnsi"/>
          <w:b/>
          <w:color w:val="000000"/>
          <w:sz w:val="14"/>
          <w:szCs w:val="18"/>
        </w:rPr>
      </w:pPr>
    </w:p>
    <w:p w:rsidR="0086544E" w:rsidRPr="006B50B3" w:rsidRDefault="0086544E" w:rsidP="00FB5609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color w:val="000000"/>
          <w:sz w:val="18"/>
          <w:szCs w:val="18"/>
        </w:rPr>
      </w:pPr>
      <w:r w:rsidRPr="006B50B3">
        <w:rPr>
          <w:rFonts w:eastAsia="Times New Roman" w:cstheme="minorHAnsi"/>
          <w:color w:val="000000"/>
          <w:sz w:val="18"/>
          <w:szCs w:val="18"/>
        </w:rPr>
        <w:t xml:space="preserve">The market feedback shows that most of the operators (60%) have continuing/ongoing informal arrangement with contracts/agreement with fishermen or co operatives regarding procurement of fish. </w:t>
      </w:r>
    </w:p>
    <w:p w:rsidR="0086544E" w:rsidRPr="006B50B3" w:rsidRDefault="0086544E" w:rsidP="00FB5609">
      <w:pPr>
        <w:pStyle w:val="ListParagraph"/>
        <w:numPr>
          <w:ilvl w:val="0"/>
          <w:numId w:val="11"/>
        </w:numPr>
        <w:jc w:val="both"/>
        <w:rPr>
          <w:rFonts w:eastAsia="Times New Roman" w:cstheme="minorHAnsi"/>
          <w:color w:val="000000"/>
          <w:sz w:val="18"/>
          <w:szCs w:val="18"/>
        </w:rPr>
      </w:pPr>
      <w:r w:rsidRPr="006B50B3">
        <w:rPr>
          <w:rFonts w:eastAsia="Times New Roman" w:cstheme="minorHAnsi"/>
          <w:color w:val="000000"/>
          <w:sz w:val="18"/>
          <w:szCs w:val="18"/>
        </w:rPr>
        <w:t xml:space="preserve">The feedback indicates that in &gt;70% of the cases the market operators face infrastructure constraints in procurement, handling and storage etc. </w:t>
      </w:r>
    </w:p>
    <w:p w:rsidR="0086544E" w:rsidRPr="006B50B3" w:rsidRDefault="0086544E" w:rsidP="00FB5609">
      <w:pPr>
        <w:pStyle w:val="ListParagraph"/>
        <w:numPr>
          <w:ilvl w:val="0"/>
          <w:numId w:val="11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20"/>
        </w:rPr>
        <w:t xml:space="preserve">Lack of infrastructure and non availability of ice are stated as the major problems in the market operations. </w:t>
      </w:r>
    </w:p>
    <w:p w:rsidR="0086544E" w:rsidRPr="006B50B3" w:rsidRDefault="0086544E" w:rsidP="00FB5609">
      <w:pPr>
        <w:pStyle w:val="ListParagraph"/>
        <w:numPr>
          <w:ilvl w:val="0"/>
          <w:numId w:val="11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20"/>
        </w:rPr>
        <w:t xml:space="preserve">Request for financial support from institutional agencies tops the list of expectations followed by subsidizing cost of infrastructure facilities without which operators face several risks in their business. </w:t>
      </w:r>
    </w:p>
    <w:p w:rsidR="0086544E" w:rsidRDefault="0086544E" w:rsidP="0086544E">
      <w:pPr>
        <w:spacing w:after="0"/>
        <w:jc w:val="both"/>
        <w:rPr>
          <w:rFonts w:eastAsia="Times New Roman" w:cstheme="minorHAnsi"/>
          <w:b/>
          <w:color w:val="000000"/>
          <w:sz w:val="18"/>
          <w:szCs w:val="18"/>
        </w:rPr>
      </w:pPr>
      <w:r w:rsidRPr="006B50B3">
        <w:rPr>
          <w:rFonts w:eastAsia="Times New Roman" w:cstheme="minorHAnsi"/>
          <w:b/>
          <w:color w:val="000000"/>
          <w:sz w:val="18"/>
          <w:szCs w:val="18"/>
        </w:rPr>
        <w:t xml:space="preserve">Wholesale Market </w:t>
      </w:r>
    </w:p>
    <w:p w:rsidR="00FB5609" w:rsidRPr="00FB5609" w:rsidRDefault="00FB5609" w:rsidP="0086544E">
      <w:pPr>
        <w:spacing w:after="0"/>
        <w:jc w:val="both"/>
        <w:rPr>
          <w:rFonts w:eastAsia="Times New Roman" w:cstheme="minorHAnsi"/>
          <w:b/>
          <w:color w:val="000000"/>
          <w:sz w:val="10"/>
          <w:szCs w:val="18"/>
        </w:rPr>
      </w:pPr>
    </w:p>
    <w:p w:rsidR="0086544E" w:rsidRPr="006B50B3" w:rsidRDefault="0086544E" w:rsidP="00FB5609">
      <w:pPr>
        <w:pStyle w:val="ListParagraph"/>
        <w:numPr>
          <w:ilvl w:val="0"/>
          <w:numId w:val="12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18"/>
        </w:rPr>
        <w:t xml:space="preserve">As a part of the field study, feedback has been obtained from three wholesalers operating in the wholesale markets one each in </w:t>
      </w:r>
      <w:proofErr w:type="spellStart"/>
      <w:r w:rsidRPr="006B50B3">
        <w:rPr>
          <w:rFonts w:eastAsia="Times New Roman" w:cstheme="minorHAnsi"/>
          <w:color w:val="000000"/>
          <w:sz w:val="18"/>
          <w:szCs w:val="18"/>
        </w:rPr>
        <w:t>Karimnagar</w:t>
      </w:r>
      <w:proofErr w:type="spellEnd"/>
      <w:r w:rsidRPr="006B50B3">
        <w:rPr>
          <w:rFonts w:eastAsia="Times New Roman" w:cstheme="minorHAnsi"/>
          <w:color w:val="000000"/>
          <w:sz w:val="18"/>
          <w:szCs w:val="18"/>
        </w:rPr>
        <w:t xml:space="preserve">, </w:t>
      </w:r>
      <w:proofErr w:type="spellStart"/>
      <w:r w:rsidRPr="006B50B3">
        <w:rPr>
          <w:rFonts w:eastAsia="Times New Roman" w:cstheme="minorHAnsi"/>
          <w:color w:val="000000"/>
          <w:sz w:val="18"/>
          <w:szCs w:val="18"/>
        </w:rPr>
        <w:t>Mancherial</w:t>
      </w:r>
      <w:proofErr w:type="spellEnd"/>
      <w:r w:rsidRPr="006B50B3">
        <w:rPr>
          <w:rFonts w:eastAsia="Times New Roman" w:cstheme="minorHAnsi"/>
          <w:color w:val="000000"/>
          <w:sz w:val="18"/>
          <w:szCs w:val="18"/>
        </w:rPr>
        <w:t xml:space="preserve"> and </w:t>
      </w:r>
      <w:proofErr w:type="spellStart"/>
      <w:r w:rsidRPr="006B50B3">
        <w:rPr>
          <w:rFonts w:eastAsia="Times New Roman" w:cstheme="minorHAnsi"/>
          <w:color w:val="000000"/>
          <w:sz w:val="18"/>
          <w:szCs w:val="18"/>
        </w:rPr>
        <w:t>Medak</w:t>
      </w:r>
      <w:proofErr w:type="spellEnd"/>
      <w:r w:rsidRPr="006B50B3">
        <w:rPr>
          <w:rFonts w:eastAsia="Times New Roman" w:cstheme="minorHAnsi"/>
          <w:color w:val="000000"/>
          <w:sz w:val="18"/>
          <w:szCs w:val="18"/>
        </w:rPr>
        <w:t xml:space="preserve"> districts. </w:t>
      </w:r>
    </w:p>
    <w:p w:rsidR="0086544E" w:rsidRPr="006B50B3" w:rsidRDefault="0086544E" w:rsidP="00FB5609">
      <w:pPr>
        <w:pStyle w:val="ListParagraph"/>
        <w:numPr>
          <w:ilvl w:val="0"/>
          <w:numId w:val="12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18"/>
        </w:rPr>
        <w:t>They procure fish from aggregator, reservoir societies as well as tank FCS, the weekly procurement being 2 to 5 tons.</w:t>
      </w:r>
    </w:p>
    <w:p w:rsidR="0086544E" w:rsidRDefault="0086544E" w:rsidP="00FB5609">
      <w:pPr>
        <w:spacing w:after="0"/>
        <w:jc w:val="both"/>
        <w:rPr>
          <w:rFonts w:eastAsia="Times New Roman" w:cstheme="minorHAnsi"/>
          <w:b/>
          <w:color w:val="000000"/>
          <w:sz w:val="18"/>
          <w:szCs w:val="20"/>
        </w:rPr>
      </w:pPr>
      <w:r w:rsidRPr="006B50B3">
        <w:rPr>
          <w:rFonts w:eastAsia="Times New Roman" w:cstheme="minorHAnsi"/>
          <w:b/>
          <w:color w:val="000000"/>
          <w:sz w:val="18"/>
          <w:szCs w:val="20"/>
        </w:rPr>
        <w:t>Market Aggregators</w:t>
      </w:r>
    </w:p>
    <w:p w:rsidR="00FB5609" w:rsidRPr="00FB5609" w:rsidRDefault="00FB5609" w:rsidP="00FB5609">
      <w:pPr>
        <w:spacing w:after="0"/>
        <w:jc w:val="both"/>
        <w:rPr>
          <w:rFonts w:eastAsia="Times New Roman" w:cstheme="minorHAnsi"/>
          <w:b/>
          <w:color w:val="000000"/>
          <w:sz w:val="12"/>
          <w:szCs w:val="20"/>
        </w:rPr>
      </w:pPr>
    </w:p>
    <w:p w:rsidR="0086544E" w:rsidRPr="006B50B3" w:rsidRDefault="0086544E" w:rsidP="00FB5609">
      <w:pPr>
        <w:pStyle w:val="ListParagraph"/>
        <w:numPr>
          <w:ilvl w:val="0"/>
          <w:numId w:val="12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20"/>
        </w:rPr>
        <w:t>Their main procurement source is tanks (63%) followed by reservoir (21%) and other sources being (16%)</w:t>
      </w:r>
    </w:p>
    <w:p w:rsidR="0086544E" w:rsidRPr="006B50B3" w:rsidRDefault="0086544E" w:rsidP="00FB5609">
      <w:pPr>
        <w:pStyle w:val="ListParagraph"/>
        <w:numPr>
          <w:ilvl w:val="0"/>
          <w:numId w:val="12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20"/>
        </w:rPr>
        <w:t xml:space="preserve">On the question whether there is increased demand trend for any particular species nearly 90% of aggregators confirm that there is exceptional demand for </w:t>
      </w:r>
      <w:proofErr w:type="spellStart"/>
      <w:r w:rsidRPr="006B50B3">
        <w:rPr>
          <w:rFonts w:eastAsia="Times New Roman" w:cstheme="minorHAnsi"/>
          <w:color w:val="000000"/>
          <w:sz w:val="18"/>
          <w:szCs w:val="20"/>
        </w:rPr>
        <w:t>murrels</w:t>
      </w:r>
      <w:proofErr w:type="spellEnd"/>
      <w:r w:rsidRPr="006B50B3">
        <w:rPr>
          <w:rFonts w:eastAsia="Times New Roman" w:cstheme="minorHAnsi"/>
          <w:color w:val="000000"/>
          <w:sz w:val="18"/>
          <w:szCs w:val="20"/>
        </w:rPr>
        <w:t xml:space="preserve"> in all places. </w:t>
      </w:r>
    </w:p>
    <w:p w:rsidR="0086544E" w:rsidRPr="006B50B3" w:rsidRDefault="0086544E" w:rsidP="00FB5609">
      <w:pPr>
        <w:pStyle w:val="ListParagraph"/>
        <w:numPr>
          <w:ilvl w:val="0"/>
          <w:numId w:val="12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20"/>
        </w:rPr>
        <w:t xml:space="preserve">The feedback indicates that in &gt;60% of the cases the market operators face infrastructure constraints in procurement, handling and storage etc. </w:t>
      </w:r>
    </w:p>
    <w:p w:rsidR="0086544E" w:rsidRPr="006B50B3" w:rsidRDefault="0086544E" w:rsidP="00FB5609">
      <w:pPr>
        <w:pStyle w:val="ListParagraph"/>
        <w:numPr>
          <w:ilvl w:val="0"/>
          <w:numId w:val="12"/>
        </w:numPr>
        <w:rPr>
          <w:sz w:val="20"/>
        </w:rPr>
      </w:pPr>
      <w:r w:rsidRPr="006B50B3">
        <w:rPr>
          <w:rFonts w:eastAsia="Times New Roman" w:cstheme="minorHAnsi"/>
          <w:color w:val="000000"/>
          <w:sz w:val="18"/>
          <w:szCs w:val="20"/>
        </w:rPr>
        <w:t xml:space="preserve">Lack of infrastructure and non availability of ice are stated as the major problems in the market operations. </w:t>
      </w:r>
    </w:p>
    <w:p w:rsidR="0086544E" w:rsidRPr="006B50B3" w:rsidRDefault="0086544E" w:rsidP="00FB5609">
      <w:pPr>
        <w:pStyle w:val="ListParagraph"/>
        <w:numPr>
          <w:ilvl w:val="0"/>
          <w:numId w:val="12"/>
        </w:numPr>
      </w:pPr>
      <w:r w:rsidRPr="006B50B3">
        <w:rPr>
          <w:rFonts w:eastAsia="Times New Roman" w:cstheme="minorHAnsi"/>
          <w:color w:val="000000"/>
          <w:sz w:val="18"/>
          <w:szCs w:val="20"/>
        </w:rPr>
        <w:t>Request for financial support from institutional agencies tops the list of expectations followed by subsidizing cost of infrastructure facilities without which operators face several risks in their business</w:t>
      </w:r>
      <w:r w:rsidRPr="006B50B3">
        <w:rPr>
          <w:rFonts w:eastAsia="Times New Roman" w:cstheme="minorHAnsi"/>
          <w:color w:val="000000"/>
          <w:sz w:val="20"/>
          <w:szCs w:val="20"/>
        </w:rPr>
        <w:t>.</w:t>
      </w:r>
    </w:p>
    <w:p w:rsidR="0086544E" w:rsidRDefault="0086544E" w:rsidP="00FB5609">
      <w:pPr>
        <w:tabs>
          <w:tab w:val="left" w:pos="2115"/>
        </w:tabs>
        <w:spacing w:after="0"/>
        <w:jc w:val="both"/>
        <w:rPr>
          <w:rFonts w:eastAsia="Times New Roman" w:cstheme="minorHAnsi"/>
          <w:b/>
          <w:sz w:val="20"/>
          <w:szCs w:val="20"/>
        </w:rPr>
      </w:pPr>
      <w:r w:rsidRPr="006B50B3">
        <w:rPr>
          <w:rFonts w:eastAsia="Times New Roman" w:cstheme="minorHAnsi"/>
          <w:b/>
          <w:sz w:val="20"/>
          <w:szCs w:val="20"/>
        </w:rPr>
        <w:t xml:space="preserve">Consumer’s response </w:t>
      </w:r>
    </w:p>
    <w:p w:rsidR="00FB5609" w:rsidRPr="00FB5609" w:rsidRDefault="00FB5609" w:rsidP="00FB5609">
      <w:pPr>
        <w:tabs>
          <w:tab w:val="left" w:pos="2115"/>
        </w:tabs>
        <w:spacing w:after="0"/>
        <w:jc w:val="both"/>
        <w:rPr>
          <w:sz w:val="14"/>
          <w:szCs w:val="20"/>
        </w:rPr>
      </w:pPr>
    </w:p>
    <w:p w:rsidR="0086544E" w:rsidRPr="006B50B3" w:rsidRDefault="0086544E" w:rsidP="00FB5609">
      <w:pPr>
        <w:pStyle w:val="ListParagraph"/>
        <w:numPr>
          <w:ilvl w:val="0"/>
          <w:numId w:val="13"/>
        </w:numPr>
        <w:tabs>
          <w:tab w:val="left" w:pos="2115"/>
        </w:tabs>
        <w:spacing w:after="0"/>
        <w:jc w:val="both"/>
        <w:rPr>
          <w:sz w:val="18"/>
          <w:szCs w:val="20"/>
        </w:rPr>
      </w:pPr>
      <w:r w:rsidRPr="006B50B3">
        <w:rPr>
          <w:sz w:val="18"/>
          <w:szCs w:val="20"/>
        </w:rPr>
        <w:t>It is seen that over the period the consumption among rural consumers has increased 4 times and the enhancement in the highest consumption bracket (&gt;40 kg) has been 23%. Similarly in urban consumers the increase is &gt; 2 times and addition in the higher consumption category as above is 8%.</w:t>
      </w:r>
    </w:p>
    <w:p w:rsidR="00612F6A" w:rsidRPr="0086544E" w:rsidRDefault="0086544E" w:rsidP="00186CA4">
      <w:pPr>
        <w:pStyle w:val="ListParagraph"/>
        <w:numPr>
          <w:ilvl w:val="0"/>
          <w:numId w:val="13"/>
        </w:numPr>
        <w:tabs>
          <w:tab w:val="left" w:pos="2115"/>
        </w:tabs>
        <w:spacing w:after="0"/>
        <w:jc w:val="both"/>
        <w:rPr>
          <w:sz w:val="18"/>
          <w:szCs w:val="20"/>
        </w:rPr>
      </w:pPr>
      <w:r w:rsidRPr="006B50B3">
        <w:rPr>
          <w:sz w:val="20"/>
          <w:szCs w:val="20"/>
        </w:rPr>
        <w:t xml:space="preserve"> </w:t>
      </w:r>
      <w:r w:rsidRPr="006B50B3">
        <w:rPr>
          <w:sz w:val="18"/>
          <w:szCs w:val="20"/>
        </w:rPr>
        <w:t>More than 70% of the respondents in both the categories opine that fish consumption has increased from 25 to 50% in the last 5 yrs</w:t>
      </w:r>
      <w:r w:rsidR="00054A06">
        <w:rPr>
          <w:sz w:val="18"/>
          <w:szCs w:val="20"/>
        </w:rPr>
        <w:t>.</w:t>
      </w:r>
      <w:r w:rsidR="00186CA4">
        <w:rPr>
          <w:sz w:val="18"/>
          <w:szCs w:val="20"/>
        </w:rPr>
        <w:t xml:space="preserve"> </w:t>
      </w:r>
    </w:p>
    <w:sectPr w:rsidR="00612F6A" w:rsidRPr="0086544E" w:rsidSect="009D5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4C"/>
    <w:multiLevelType w:val="hybridMultilevel"/>
    <w:tmpl w:val="CBD2D172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F431DA"/>
    <w:multiLevelType w:val="hybridMultilevel"/>
    <w:tmpl w:val="84CCFC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2228E"/>
    <w:multiLevelType w:val="hybridMultilevel"/>
    <w:tmpl w:val="9A4CF3F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52AFC"/>
    <w:multiLevelType w:val="hybridMultilevel"/>
    <w:tmpl w:val="B3929EB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677CD"/>
    <w:multiLevelType w:val="hybridMultilevel"/>
    <w:tmpl w:val="7F4ADC3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4038F"/>
    <w:multiLevelType w:val="hybridMultilevel"/>
    <w:tmpl w:val="F280ADCC"/>
    <w:lvl w:ilvl="0" w:tplc="1F4AA4E8">
      <w:start w:val="1"/>
      <w:numFmt w:val="bullet"/>
      <w:lvlText w:val="¾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8F34E8"/>
    <w:multiLevelType w:val="hybridMultilevel"/>
    <w:tmpl w:val="E2BE4C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06E34"/>
    <w:multiLevelType w:val="hybridMultilevel"/>
    <w:tmpl w:val="6AE67A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B6BFD"/>
    <w:multiLevelType w:val="hybridMultilevel"/>
    <w:tmpl w:val="3CC82592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84928"/>
    <w:multiLevelType w:val="hybridMultilevel"/>
    <w:tmpl w:val="63540AD2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649A4"/>
    <w:multiLevelType w:val="hybridMultilevel"/>
    <w:tmpl w:val="C8526AD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A21B07"/>
    <w:multiLevelType w:val="multilevel"/>
    <w:tmpl w:val="9FDAD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402D317F"/>
    <w:multiLevelType w:val="hybridMultilevel"/>
    <w:tmpl w:val="49CEEC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35BBD"/>
    <w:multiLevelType w:val="hybridMultilevel"/>
    <w:tmpl w:val="6FDCDD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B3C41"/>
    <w:multiLevelType w:val="hybridMultilevel"/>
    <w:tmpl w:val="A79CA344"/>
    <w:lvl w:ilvl="0" w:tplc="E7346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18"/>
        <w:szCs w:val="20"/>
        <w:u w:color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1297B"/>
    <w:multiLevelType w:val="hybridMultilevel"/>
    <w:tmpl w:val="E0AA8728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5C7FCE"/>
    <w:multiLevelType w:val="hybridMultilevel"/>
    <w:tmpl w:val="B2563D50"/>
    <w:lvl w:ilvl="0" w:tplc="47004CF4">
      <w:start w:val="1"/>
      <w:numFmt w:val="bullet"/>
      <w:lvlText w:val=""/>
      <w:lvlJc w:val="left"/>
      <w:pPr>
        <w:ind w:left="720" w:hanging="360"/>
      </w:pPr>
      <w:rPr>
        <w:rFonts w:ascii="Wingdings 3" w:hAnsi="Wingdings 3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7746D"/>
    <w:multiLevelType w:val="hybridMultilevel"/>
    <w:tmpl w:val="95C29F8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CD49BB"/>
    <w:multiLevelType w:val="hybridMultilevel"/>
    <w:tmpl w:val="937C61D2"/>
    <w:lvl w:ilvl="0" w:tplc="D34A4A5C">
      <w:numFmt w:val="bullet"/>
      <w:lvlText w:val=""/>
      <w:lvlJc w:val="left"/>
      <w:pPr>
        <w:ind w:left="360" w:hanging="360"/>
      </w:pPr>
      <w:rPr>
        <w:rFonts w:ascii="Wingdings" w:eastAsiaTheme="minorEastAsia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4"/>
  </w:num>
  <w:num w:numId="5">
    <w:abstractNumId w:val="8"/>
  </w:num>
  <w:num w:numId="6">
    <w:abstractNumId w:val="10"/>
  </w:num>
  <w:num w:numId="7">
    <w:abstractNumId w:val="15"/>
  </w:num>
  <w:num w:numId="8">
    <w:abstractNumId w:val="11"/>
  </w:num>
  <w:num w:numId="9">
    <w:abstractNumId w:val="3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  <w:num w:numId="14">
    <w:abstractNumId w:val="7"/>
  </w:num>
  <w:num w:numId="15">
    <w:abstractNumId w:val="0"/>
  </w:num>
  <w:num w:numId="16">
    <w:abstractNumId w:val="4"/>
  </w:num>
  <w:num w:numId="17">
    <w:abstractNumId w:val="17"/>
  </w:num>
  <w:num w:numId="18">
    <w:abstractNumId w:val="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9D8"/>
    <w:rsid w:val="00054A06"/>
    <w:rsid w:val="00066195"/>
    <w:rsid w:val="0013720F"/>
    <w:rsid w:val="00186CA4"/>
    <w:rsid w:val="00237FB1"/>
    <w:rsid w:val="002A19DC"/>
    <w:rsid w:val="002C7F5B"/>
    <w:rsid w:val="00305115"/>
    <w:rsid w:val="00612F6A"/>
    <w:rsid w:val="006554C7"/>
    <w:rsid w:val="006B50B3"/>
    <w:rsid w:val="00746794"/>
    <w:rsid w:val="00752647"/>
    <w:rsid w:val="0079027D"/>
    <w:rsid w:val="0086544E"/>
    <w:rsid w:val="009D576B"/>
    <w:rsid w:val="00A011A5"/>
    <w:rsid w:val="00B819D8"/>
    <w:rsid w:val="00BD070A"/>
    <w:rsid w:val="00BF1014"/>
    <w:rsid w:val="00D06A36"/>
    <w:rsid w:val="00EE3A08"/>
    <w:rsid w:val="00FA78A4"/>
    <w:rsid w:val="00FB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D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554C7"/>
    <w:pPr>
      <w:ind w:left="720"/>
      <w:contextualSpacing/>
    </w:pPr>
    <w:rPr>
      <w:lang w:val="en-IN" w:eastAsia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554C7"/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BD070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</cp:lastModifiedBy>
  <cp:revision>7</cp:revision>
  <dcterms:created xsi:type="dcterms:W3CDTF">2018-03-05T08:34:00Z</dcterms:created>
  <dcterms:modified xsi:type="dcterms:W3CDTF">2018-03-13T16:06:00Z</dcterms:modified>
</cp:coreProperties>
</file>